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75376" w14:textId="77777777" w:rsidR="00832F85" w:rsidRDefault="006863B1">
      <w:pPr>
        <w:ind w:left="0" w:hanging="2"/>
        <w:jc w:val="center"/>
      </w:pPr>
      <w:r>
        <w:rPr>
          <w:noProof/>
        </w:rPr>
        <w:drawing>
          <wp:inline distT="0" distB="0" distL="114300" distR="114300" wp14:anchorId="526CFD92" wp14:editId="3A48A155">
            <wp:extent cx="618490" cy="730885"/>
            <wp:effectExtent l="0" t="0" r="0" b="0"/>
            <wp:docPr id="1028"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9"/>
                    <a:srcRect/>
                    <a:stretch>
                      <a:fillRect/>
                    </a:stretch>
                  </pic:blipFill>
                  <pic:spPr>
                    <a:xfrm>
                      <a:off x="0" y="0"/>
                      <a:ext cx="618490" cy="730885"/>
                    </a:xfrm>
                    <a:prstGeom prst="rect">
                      <a:avLst/>
                    </a:prstGeom>
                    <a:ln/>
                  </pic:spPr>
                </pic:pic>
              </a:graphicData>
            </a:graphic>
          </wp:inline>
        </w:drawing>
      </w:r>
    </w:p>
    <w:p w14:paraId="1A198E11" w14:textId="77777777" w:rsidR="00832F85" w:rsidRDefault="00832F85">
      <w:pPr>
        <w:jc w:val="center"/>
        <w:rPr>
          <w:sz w:val="12"/>
          <w:szCs w:val="12"/>
        </w:rPr>
      </w:pPr>
    </w:p>
    <w:p w14:paraId="616BDE7E" w14:textId="77777777" w:rsidR="00832F85" w:rsidRDefault="006863B1">
      <w:pPr>
        <w:ind w:left="2" w:hanging="4"/>
        <w:jc w:val="center"/>
        <w:rPr>
          <w:sz w:val="36"/>
          <w:szCs w:val="36"/>
        </w:rPr>
      </w:pPr>
      <w:r>
        <w:rPr>
          <w:sz w:val="36"/>
          <w:szCs w:val="36"/>
        </w:rPr>
        <w:t>OGRES  NOVADA  PAŠVALDĪBA</w:t>
      </w:r>
    </w:p>
    <w:p w14:paraId="02436A15" w14:textId="77777777" w:rsidR="00832F85" w:rsidRDefault="006863B1">
      <w:pPr>
        <w:ind w:left="0" w:hanging="2"/>
        <w:jc w:val="center"/>
        <w:rPr>
          <w:sz w:val="18"/>
          <w:szCs w:val="18"/>
        </w:rPr>
      </w:pPr>
      <w:r>
        <w:rPr>
          <w:sz w:val="18"/>
          <w:szCs w:val="18"/>
        </w:rPr>
        <w:t>Reģ.Nr.90000024455, Brīvības iela 33, Ogre, Ogres nov., LV-5001</w:t>
      </w:r>
    </w:p>
    <w:p w14:paraId="6F496717" w14:textId="77777777" w:rsidR="00832F85" w:rsidRDefault="006863B1">
      <w:pPr>
        <w:pBdr>
          <w:bottom w:val="single" w:sz="4" w:space="1" w:color="000000"/>
        </w:pBdr>
        <w:ind w:left="0" w:hanging="2"/>
        <w:jc w:val="center"/>
        <w:rPr>
          <w:sz w:val="18"/>
          <w:szCs w:val="18"/>
        </w:rPr>
      </w:pPr>
      <w:r>
        <w:rPr>
          <w:sz w:val="18"/>
          <w:szCs w:val="18"/>
        </w:rPr>
        <w:t xml:space="preserve">tālrunis 65071160, e-pasts: ogredome@ogresnovads.lv, www.ogresnovads.lv </w:t>
      </w:r>
    </w:p>
    <w:p w14:paraId="6E04D7CA" w14:textId="77777777" w:rsidR="00832F85" w:rsidRDefault="00832F85">
      <w:pPr>
        <w:ind w:left="0" w:hanging="2"/>
        <w:jc w:val="center"/>
      </w:pPr>
    </w:p>
    <w:p w14:paraId="4AD749A8" w14:textId="77777777" w:rsidR="00832F85" w:rsidRDefault="006863B1">
      <w:pPr>
        <w:ind w:left="1" w:hanging="3"/>
        <w:jc w:val="center"/>
        <w:rPr>
          <w:sz w:val="32"/>
          <w:szCs w:val="32"/>
        </w:rPr>
      </w:pPr>
      <w:r>
        <w:rPr>
          <w:sz w:val="28"/>
          <w:szCs w:val="28"/>
        </w:rPr>
        <w:t>PAŠVALDĪBAS DOMES SĒDES PROTOKOLA IZRAKSTS</w:t>
      </w:r>
    </w:p>
    <w:p w14:paraId="403193D0" w14:textId="77777777" w:rsidR="00832F85" w:rsidRDefault="00832F85">
      <w:pPr>
        <w:ind w:left="0" w:hanging="2"/>
      </w:pPr>
    </w:p>
    <w:p w14:paraId="49006DFA" w14:textId="77777777" w:rsidR="00832F85" w:rsidRDefault="00832F85">
      <w:pPr>
        <w:ind w:left="0" w:hanging="2"/>
      </w:pPr>
    </w:p>
    <w:tbl>
      <w:tblPr>
        <w:tblStyle w:val="a"/>
        <w:tblW w:w="9145" w:type="dxa"/>
        <w:tblInd w:w="0" w:type="dxa"/>
        <w:tblLayout w:type="fixed"/>
        <w:tblLook w:val="0000" w:firstRow="0" w:lastRow="0" w:firstColumn="0" w:lastColumn="0" w:noHBand="0" w:noVBand="0"/>
      </w:tblPr>
      <w:tblGrid>
        <w:gridCol w:w="2392"/>
        <w:gridCol w:w="3705"/>
        <w:gridCol w:w="3048"/>
      </w:tblGrid>
      <w:tr w:rsidR="00832F85" w:rsidRPr="004112F6" w14:paraId="07C17166" w14:textId="77777777">
        <w:trPr>
          <w:trHeight w:val="227"/>
        </w:trPr>
        <w:tc>
          <w:tcPr>
            <w:tcW w:w="2392" w:type="dxa"/>
            <w:tcMar>
              <w:top w:w="0" w:type="dxa"/>
              <w:left w:w="108" w:type="dxa"/>
              <w:bottom w:w="0" w:type="dxa"/>
              <w:right w:w="108" w:type="dxa"/>
            </w:tcMar>
          </w:tcPr>
          <w:p w14:paraId="3087DA60" w14:textId="77777777" w:rsidR="00832F85" w:rsidRPr="004112F6" w:rsidRDefault="006863B1">
            <w:pPr>
              <w:ind w:left="0" w:hanging="2"/>
            </w:pPr>
            <w:r w:rsidRPr="004112F6">
              <w:rPr>
                <w:color w:val="000000"/>
              </w:rPr>
              <w:t>Ogrē, Brīvības ielā 33</w:t>
            </w:r>
          </w:p>
        </w:tc>
        <w:tc>
          <w:tcPr>
            <w:tcW w:w="3705" w:type="dxa"/>
            <w:tcMar>
              <w:top w:w="0" w:type="dxa"/>
              <w:left w:w="108" w:type="dxa"/>
              <w:bottom w:w="0" w:type="dxa"/>
              <w:right w:w="108" w:type="dxa"/>
            </w:tcMar>
          </w:tcPr>
          <w:p w14:paraId="66D16472" w14:textId="2E8555EF" w:rsidR="00832F85" w:rsidRPr="004112F6" w:rsidRDefault="006863B1">
            <w:pPr>
              <w:ind w:left="0" w:hanging="2"/>
              <w:jc w:val="center"/>
              <w:rPr>
                <w:b/>
                <w:color w:val="000000"/>
              </w:rPr>
            </w:pPr>
            <w:r w:rsidRPr="004112F6">
              <w:rPr>
                <w:b/>
                <w:color w:val="000000"/>
              </w:rPr>
              <w:t xml:space="preserve">         Nr.</w:t>
            </w:r>
            <w:r w:rsidR="004B515B">
              <w:rPr>
                <w:b/>
                <w:color w:val="000000"/>
              </w:rPr>
              <w:t xml:space="preserve"> 3</w:t>
            </w:r>
          </w:p>
          <w:p w14:paraId="0A0765E0" w14:textId="77777777" w:rsidR="00832F85" w:rsidRPr="004112F6" w:rsidRDefault="00832F85">
            <w:pPr>
              <w:ind w:left="0" w:hanging="2"/>
              <w:jc w:val="center"/>
            </w:pPr>
          </w:p>
        </w:tc>
        <w:tc>
          <w:tcPr>
            <w:tcW w:w="3048" w:type="dxa"/>
            <w:tcMar>
              <w:top w:w="0" w:type="dxa"/>
              <w:left w:w="108" w:type="dxa"/>
              <w:bottom w:w="0" w:type="dxa"/>
              <w:right w:w="108" w:type="dxa"/>
            </w:tcMar>
          </w:tcPr>
          <w:p w14:paraId="58DBEA89" w14:textId="73B6E1A2" w:rsidR="00832F85" w:rsidRPr="004112F6" w:rsidRDefault="006863B1" w:rsidP="004B515B">
            <w:pPr>
              <w:ind w:left="0" w:hanging="2"/>
              <w:jc w:val="right"/>
            </w:pPr>
            <w:r w:rsidRPr="004112F6">
              <w:t xml:space="preserve">2025. gada </w:t>
            </w:r>
            <w:r w:rsidR="004B515B">
              <w:t>27</w:t>
            </w:r>
            <w:r w:rsidRPr="004112F6">
              <w:t>. martā</w:t>
            </w:r>
          </w:p>
        </w:tc>
      </w:tr>
    </w:tbl>
    <w:p w14:paraId="2328118D" w14:textId="7169039A" w:rsidR="00832F85" w:rsidRPr="004112F6" w:rsidRDefault="004B515B">
      <w:pPr>
        <w:ind w:left="0" w:hanging="2"/>
        <w:jc w:val="center"/>
        <w:rPr>
          <w:b/>
          <w:color w:val="000000"/>
        </w:rPr>
      </w:pPr>
      <w:r>
        <w:rPr>
          <w:b/>
        </w:rPr>
        <w:t>21</w:t>
      </w:r>
      <w:r w:rsidR="006863B1" w:rsidRPr="004112F6">
        <w:rPr>
          <w:b/>
          <w:color w:val="000000"/>
        </w:rPr>
        <w:t>.</w:t>
      </w:r>
    </w:p>
    <w:p w14:paraId="53360A3D" w14:textId="77777777" w:rsidR="00832F85" w:rsidRPr="004112F6" w:rsidRDefault="006863B1">
      <w:pPr>
        <w:ind w:left="0" w:hanging="2"/>
        <w:jc w:val="center"/>
        <w:rPr>
          <w:b/>
          <w:u w:val="single"/>
        </w:rPr>
      </w:pPr>
      <w:r w:rsidRPr="004112F6">
        <w:rPr>
          <w:b/>
          <w:u w:val="single"/>
        </w:rPr>
        <w:t>Par izglītojamo uzņemšanu  Ogres novada pašvaldības vispārējās vidējās izglītības iestāžu 10. klasēs 2025./2026. mācību gadā</w:t>
      </w:r>
    </w:p>
    <w:p w14:paraId="5B33B2F4" w14:textId="77777777" w:rsidR="00832F85" w:rsidRPr="004112F6" w:rsidRDefault="006863B1">
      <w:pPr>
        <w:ind w:left="0" w:hanging="2"/>
      </w:pPr>
      <w:r w:rsidRPr="004112F6">
        <w:t xml:space="preserve">  </w:t>
      </w:r>
    </w:p>
    <w:p w14:paraId="696530F3" w14:textId="77777777" w:rsidR="00832F85" w:rsidRPr="004112F6" w:rsidRDefault="006863B1" w:rsidP="00A211CC">
      <w:pPr>
        <w:pBdr>
          <w:top w:val="nil"/>
          <w:left w:val="nil"/>
          <w:bottom w:val="nil"/>
          <w:right w:val="nil"/>
          <w:between w:val="nil"/>
        </w:pBdr>
        <w:spacing w:line="240" w:lineRule="auto"/>
        <w:ind w:leftChars="0" w:left="0" w:firstLineChars="0" w:firstLine="720"/>
        <w:jc w:val="both"/>
        <w:rPr>
          <w:color w:val="000000"/>
        </w:rPr>
      </w:pPr>
      <w:bookmarkStart w:id="0" w:name="_heading=h.gjdgxs" w:colFirst="0" w:colLast="0"/>
      <w:bookmarkEnd w:id="0"/>
      <w:r w:rsidRPr="004112F6">
        <w:rPr>
          <w:color w:val="000000"/>
        </w:rPr>
        <w:t xml:space="preserve">Saskaņā ar Pašvaldību likuma </w:t>
      </w:r>
      <w:r w:rsidRPr="004112F6">
        <w:t>4</w:t>
      </w:r>
      <w:r w:rsidRPr="004112F6">
        <w:rPr>
          <w:color w:val="000000"/>
        </w:rPr>
        <w:t>. panta pirmās daļas 4. punktu, viena no pašvaldības autonomajām funkcijām ir gādāt par iedzīvotāju izglītību.</w:t>
      </w:r>
    </w:p>
    <w:p w14:paraId="6A13D336" w14:textId="26F36BC0" w:rsidR="00832F85" w:rsidRPr="004112F6" w:rsidRDefault="006863B1" w:rsidP="009304EF">
      <w:pPr>
        <w:pBdr>
          <w:top w:val="nil"/>
          <w:left w:val="nil"/>
          <w:bottom w:val="nil"/>
          <w:right w:val="nil"/>
          <w:between w:val="nil"/>
        </w:pBdr>
        <w:spacing w:line="240" w:lineRule="auto"/>
        <w:ind w:leftChars="0" w:left="0" w:firstLineChars="0" w:firstLine="720"/>
        <w:jc w:val="both"/>
        <w:rPr>
          <w:color w:val="000000"/>
        </w:rPr>
      </w:pPr>
      <w:r w:rsidRPr="004112F6">
        <w:rPr>
          <w:color w:val="000000"/>
        </w:rPr>
        <w:t>Pamatojoties uz Izglītības likuma 17. panta trešās daļas 1.</w:t>
      </w:r>
      <w:r w:rsidRPr="004112F6">
        <w:rPr>
          <w:color w:val="000000"/>
          <w:vertAlign w:val="superscript"/>
        </w:rPr>
        <w:t>2</w:t>
      </w:r>
      <w:r w:rsidR="009304EF" w:rsidRPr="004112F6">
        <w:rPr>
          <w:color w:val="000000"/>
        </w:rPr>
        <w:t xml:space="preserve"> </w:t>
      </w:r>
      <w:r w:rsidRPr="004112F6">
        <w:rPr>
          <w:color w:val="000000"/>
        </w:rPr>
        <w:t>punktu pašvaldība nodrošina pieejamu un kvalitatīvu izglītību savā teritorijā atbilstoši valsts noteiktajiem mērķiem un personas vajadzībām.</w:t>
      </w:r>
    </w:p>
    <w:p w14:paraId="159A9EE7" w14:textId="77777777" w:rsidR="00832F85" w:rsidRPr="004112F6" w:rsidRDefault="006863B1" w:rsidP="00A211CC">
      <w:pPr>
        <w:pBdr>
          <w:top w:val="nil"/>
          <w:left w:val="nil"/>
          <w:bottom w:val="nil"/>
          <w:right w:val="nil"/>
          <w:between w:val="nil"/>
        </w:pBdr>
        <w:spacing w:line="240" w:lineRule="auto"/>
        <w:ind w:leftChars="0" w:left="0" w:firstLineChars="0" w:firstLine="720"/>
        <w:jc w:val="both"/>
        <w:rPr>
          <w:color w:val="000000"/>
        </w:rPr>
      </w:pPr>
      <w:r w:rsidRPr="004112F6">
        <w:rPr>
          <w:color w:val="000000"/>
        </w:rPr>
        <w:t xml:space="preserve">Ogres novada Izglītības pārvalde kā vienu no prioritātēm izvirzījusi uzdevumu izveidot mūsdienīgu vispārējās vidējās izglītības piedāvājumu Ogres novadā, kas atspoguļots informatīvajā ziņojumā par vispārējās vidējās izglītības attīstību, kas pieņemts zināšanai Ogres novada pašvaldības (turpmāk – pašvaldība) domes 2022. gada 24. februāra sēdē. Informatīvajā ziņojumā sniegts vispārējās vidējās izglītības Ogres novadā raksturojums un vidusskolu attīstības iespējas. </w:t>
      </w:r>
    </w:p>
    <w:p w14:paraId="58F8D8B2" w14:textId="77777777" w:rsidR="009304EF" w:rsidRPr="004112F6" w:rsidRDefault="006863B1" w:rsidP="00A211CC">
      <w:pPr>
        <w:pBdr>
          <w:top w:val="nil"/>
          <w:left w:val="nil"/>
          <w:bottom w:val="nil"/>
          <w:right w:val="nil"/>
          <w:between w:val="nil"/>
        </w:pBdr>
        <w:spacing w:line="240" w:lineRule="auto"/>
        <w:ind w:leftChars="0" w:left="0" w:firstLineChars="0" w:firstLine="720"/>
        <w:jc w:val="both"/>
      </w:pPr>
      <w:r w:rsidRPr="004112F6">
        <w:t xml:space="preserve">Ministru kabineta 2018. gada 11. septembra noteikumi Nr. 583 “Kritēriji un kārtība, kādā valsts piedalās vispārējās izglītības iestāžu pedagogu darba samaksas finansēšanā vidējās izglītības pakāpē” nosaka </w:t>
      </w:r>
      <w:r w:rsidR="00CF3B47" w:rsidRPr="004112F6">
        <w:t>k</w:t>
      </w:r>
      <w:r w:rsidRPr="004112F6">
        <w:t xml:space="preserve">valitātes kritērijus, minimāli pieļaujamo izglītojamo skaitu klašu grupā vidējās izglītības pakāpē vispārējās vidējās izglītības iestādēs, kā arī kritērijus maksimāli pieļaujamā izglītojamo skaita noteikšanai minētajās izglītības iestādēs; kritērijus un kārtību, kādā valsts, ņemot vērā minimāli pieļaujamo izglītojamo skaitu vidējās izglītības pakāpē, piedalās vispārējās izglītības iestāžu vispārējās vidējās izglītības programmu īstenošanā iesaistīto pedagogu darba samaksas finansēšanā, ja izglītības iestāde neatbilst šajos noteikumos minētajiem kvalitātes kritērijiem. Minimāli pieļaujamais izglītojamo skaits vidējās izglītības pakāpē saskaņā ar šiem Ministru kabineta noteikumiem pašvaldības izglītības iestādes vidējās izglītības pakāpes klašu grupā ir šāds: </w:t>
      </w:r>
    </w:p>
    <w:p w14:paraId="13A93079" w14:textId="643966AD" w:rsidR="009304EF" w:rsidRPr="004112F6" w:rsidRDefault="006863B1" w:rsidP="009304EF">
      <w:pPr>
        <w:pStyle w:val="Sarakstarindkopa"/>
        <w:numPr>
          <w:ilvl w:val="0"/>
          <w:numId w:val="3"/>
        </w:numPr>
        <w:pBdr>
          <w:top w:val="nil"/>
          <w:left w:val="nil"/>
          <w:bottom w:val="nil"/>
          <w:right w:val="nil"/>
          <w:between w:val="nil"/>
        </w:pBdr>
        <w:spacing w:line="240" w:lineRule="auto"/>
        <w:ind w:leftChars="0" w:left="993" w:firstLineChars="0" w:hanging="273"/>
        <w:jc w:val="both"/>
      </w:pPr>
      <w:r w:rsidRPr="004112F6">
        <w:t xml:space="preserve">valstspilsētās – 120 izglītojamie; </w:t>
      </w:r>
    </w:p>
    <w:p w14:paraId="351AF81F" w14:textId="4A8E0C3F" w:rsidR="009304EF" w:rsidRPr="004112F6" w:rsidRDefault="006863B1" w:rsidP="009304EF">
      <w:pPr>
        <w:pStyle w:val="Sarakstarindkopa"/>
        <w:numPr>
          <w:ilvl w:val="0"/>
          <w:numId w:val="3"/>
        </w:numPr>
        <w:pBdr>
          <w:top w:val="nil"/>
          <w:left w:val="nil"/>
          <w:bottom w:val="nil"/>
          <w:right w:val="nil"/>
          <w:between w:val="nil"/>
        </w:pBdr>
        <w:spacing w:line="240" w:lineRule="auto"/>
        <w:ind w:leftChars="0" w:left="993" w:firstLineChars="0" w:hanging="273"/>
        <w:jc w:val="both"/>
      </w:pPr>
      <w:r w:rsidRPr="004112F6">
        <w:t>administratīvo teritoriju administratīvajos centros (izņemot valstspilsētas) – 90</w:t>
      </w:r>
      <w:r w:rsidR="009304EF" w:rsidRPr="004112F6">
        <w:t> </w:t>
      </w:r>
      <w:r w:rsidRPr="004112F6">
        <w:t xml:space="preserve">izglītojamie; </w:t>
      </w:r>
    </w:p>
    <w:p w14:paraId="2AE40521" w14:textId="1830B721" w:rsidR="009304EF" w:rsidRPr="004112F6" w:rsidRDefault="006863B1" w:rsidP="009304EF">
      <w:pPr>
        <w:pStyle w:val="Sarakstarindkopa"/>
        <w:numPr>
          <w:ilvl w:val="0"/>
          <w:numId w:val="3"/>
        </w:numPr>
        <w:pBdr>
          <w:top w:val="nil"/>
          <w:left w:val="nil"/>
          <w:bottom w:val="nil"/>
          <w:right w:val="nil"/>
          <w:between w:val="nil"/>
        </w:pBdr>
        <w:spacing w:line="240" w:lineRule="auto"/>
        <w:ind w:leftChars="0" w:left="993" w:firstLineChars="0" w:hanging="273"/>
        <w:jc w:val="both"/>
      </w:pPr>
      <w:r w:rsidRPr="004112F6">
        <w:t xml:space="preserve">administratīvajās teritorijās ārpus administratīvajiem centriem – 40 izglītojamie. </w:t>
      </w:r>
    </w:p>
    <w:p w14:paraId="67CEC70D" w14:textId="66AD8C16" w:rsidR="00832F85" w:rsidRPr="004112F6" w:rsidRDefault="006863B1" w:rsidP="009304EF">
      <w:pPr>
        <w:pBdr>
          <w:top w:val="nil"/>
          <w:left w:val="nil"/>
          <w:bottom w:val="nil"/>
          <w:right w:val="nil"/>
          <w:between w:val="nil"/>
        </w:pBdr>
        <w:spacing w:line="240" w:lineRule="auto"/>
        <w:ind w:leftChars="0" w:left="0" w:firstLineChars="0" w:firstLine="0"/>
        <w:jc w:val="both"/>
      </w:pPr>
      <w:r w:rsidRPr="004112F6">
        <w:t>Šie Ministru kabineta noteikumi nosaka, ka valsts nepiedalās vispārējās izglītības iestāžu vispārējās vidējās izglītības programmu īstenošanā iesaistīto pedagogu darba samaksas finansēšanā no valsts budžeta līdzekļiem, ja izglītojamo skaits kārtējā gada 1. septembrī ir mazāks par šo noteikumu 4. punktā noteikto minimāli pieļaujamo izglītojamo skaitu un vispārējās izglītības iestāde otro gadu pēc kārtas neatbilst šo noteikumu 3. punktā minētajiem kvalitātes kritērijiem.</w:t>
      </w:r>
    </w:p>
    <w:p w14:paraId="02B73457" w14:textId="77777777" w:rsidR="00832F85" w:rsidRPr="004112F6" w:rsidRDefault="006863B1" w:rsidP="00A211CC">
      <w:pPr>
        <w:pBdr>
          <w:top w:val="nil"/>
          <w:left w:val="nil"/>
          <w:bottom w:val="nil"/>
          <w:right w:val="nil"/>
          <w:between w:val="nil"/>
        </w:pBdr>
        <w:spacing w:line="240" w:lineRule="auto"/>
        <w:ind w:leftChars="0" w:left="0" w:firstLineChars="0" w:firstLine="720"/>
        <w:jc w:val="both"/>
        <w:rPr>
          <w:color w:val="000000"/>
        </w:rPr>
      </w:pPr>
      <w:r w:rsidRPr="004112F6">
        <w:rPr>
          <w:color w:val="000000"/>
        </w:rPr>
        <w:lastRenderedPageBreak/>
        <w:t xml:space="preserve">2024. gada 17. decembrī Ministru kabinetā pieņemts zināšanai Izglītības un zinātnes ministrijas (turpmāk – IZM) izstrādātais informatīvais ziņojums "Par pedagogu atalgojuma finansēšanas modeli "Programma skolā"" (turpmāk – Jaunais modelis). </w:t>
      </w:r>
    </w:p>
    <w:p w14:paraId="495F8F53" w14:textId="292F7191" w:rsidR="00832F85" w:rsidRPr="004112F6" w:rsidRDefault="006863B1" w:rsidP="00A211CC">
      <w:pPr>
        <w:pBdr>
          <w:top w:val="nil"/>
          <w:left w:val="nil"/>
          <w:bottom w:val="nil"/>
          <w:right w:val="nil"/>
          <w:between w:val="nil"/>
        </w:pBdr>
        <w:spacing w:line="240" w:lineRule="auto"/>
        <w:ind w:leftChars="0" w:left="0" w:firstLineChars="0" w:firstLine="720"/>
        <w:jc w:val="both"/>
        <w:rPr>
          <w:color w:val="000000"/>
        </w:rPr>
      </w:pPr>
      <w:r w:rsidRPr="004112F6">
        <w:rPr>
          <w:color w:val="000000"/>
        </w:rPr>
        <w:t xml:space="preserve">Jaunais modelis ir viens no IZM piedāvātajiem risinājumiem efektīvai vispārējās izglītības pārvaldībai, kas nepieciešama, lai nodrošinātu izglītības kvalitāti un līdzvērtīgas iespējas izglītības programmu apguvei neatkarīgi no izglītības iestādes atrašanās vietas, uzlabotu cilvēkkapitāla un finanšu resursu pārvaldību, panāktu plānotu pedagogu darba atalgojuma pieaugumu. </w:t>
      </w:r>
      <w:r w:rsidRPr="004112F6">
        <w:t>Jaunais m</w:t>
      </w:r>
      <w:r w:rsidRPr="004112F6">
        <w:rPr>
          <w:color w:val="000000"/>
        </w:rPr>
        <w:t xml:space="preserve">odelis paredz, ka pamatizglītības un vidējās izglītības programmu īstenošanai valsts budžeta finansējums pedagogu darba samaksai pilnā apmērā tiks piešķirts tām izglītības iestādēm, kuras atbilst noteiktiem kritērijiem par ilgtspējīgu izglītības iestādi. Pašvaldībai saglabājas tiesības lemt par izglītības ekosistēmu konkrētajā pašvaldībā, taču gadījumos, ja pašvaldība izlemj turpināt uzturēt pašvaldības dibinātas izglītības iestādes, kas neatbilst valsts noteiktiem kritērijiem, modelis paredz aprēķinu pilnam programmas nodrošinājumam un attiecīgi proporcionālu vai pilnā apmērā pašvaldības līdzfinansējumu atkarībā no izglītības pakāpes. </w:t>
      </w:r>
      <w:r w:rsidRPr="004112F6">
        <w:t>Jaunais m</w:t>
      </w:r>
      <w:r w:rsidRPr="004112F6">
        <w:rPr>
          <w:color w:val="000000"/>
        </w:rPr>
        <w:t>odelis paredz dibinātāja līdzfinansējumu tām izglītības iestādēm, kurās izglītojamo skaits neatbilst noteiktajiem kvantitatīviem kritērijiem, izņemot, ja izglītības iestādei ir ierobežojumi higiēnas prasību nodrošināšanai, sasniegta mācību telpu kapacitāte, uzsākta izglītības iestādes reorganizācija, samazinot izglītības pakāpi, vai ir identificēti un ar dibinātāju un Izglītības un zinātnes ministriju saskaņoti citi izņēmuma gadījumi. Attiecīgi, ja izglītības iestāde neizpilda kvantitatīvos kritērijus (ņemot vērā noteikto pieļaujamo atkāpi) un tā nav noteikta kā izņēmums, par izglītības programmu īstenošanu: 1. - 9. klašu posmā valsts budžeta finansējums tiks piešķirts proporcionāli faktiskajam izglītojamo skaitam pret noteikto optimālo skaitu klašu grupā, pārējo finansējuma daļu dibinātājam finansējot no sava budžeta;</w:t>
      </w:r>
      <w:r w:rsidRPr="004112F6">
        <w:t xml:space="preserve"> </w:t>
      </w:r>
      <w:r w:rsidRPr="004112F6">
        <w:rPr>
          <w:color w:val="000000"/>
        </w:rPr>
        <w:t>10. - 12. klašu posmā valsts budžeta finansējums netiks piešķirts. Kvantit</w:t>
      </w:r>
      <w:r w:rsidR="004C0E30" w:rsidRPr="004112F6">
        <w:rPr>
          <w:color w:val="000000"/>
        </w:rPr>
        <w:t>a</w:t>
      </w:r>
      <w:r w:rsidRPr="004112F6">
        <w:rPr>
          <w:color w:val="000000"/>
        </w:rPr>
        <w:t>tīvie krit</w:t>
      </w:r>
      <w:r w:rsidRPr="004112F6">
        <w:t>ēriji atbilstoši pašvaldību teritoriālajam iedalījumam paredz, ka valsts budžeta finansējums tiks piešķirts 10. līdz 12. klašu grupā sekojoši: Edgara Kauliņa Lielvārdes vidusskola, Ikšķiles vidusskola, Ogres Valsts ģimnāzija -</w:t>
      </w:r>
      <w:r w:rsidR="00EC1514" w:rsidRPr="004112F6">
        <w:t xml:space="preserve"> katrā</w:t>
      </w:r>
      <w:r w:rsidRPr="004112F6">
        <w:t xml:space="preserve"> 120 skolēni</w:t>
      </w:r>
      <w:r w:rsidR="00EC1514" w:rsidRPr="004112F6">
        <w:t>;</w:t>
      </w:r>
      <w:r w:rsidRPr="004112F6">
        <w:t xml:space="preserve"> Madlienas vidusskola - 60 skolēni.</w:t>
      </w:r>
    </w:p>
    <w:p w14:paraId="720A32F3" w14:textId="77777777" w:rsidR="00832F85" w:rsidRPr="004112F6" w:rsidRDefault="006863B1" w:rsidP="00A211CC">
      <w:pPr>
        <w:pBdr>
          <w:top w:val="nil"/>
          <w:left w:val="nil"/>
          <w:bottom w:val="nil"/>
          <w:right w:val="nil"/>
          <w:between w:val="nil"/>
        </w:pBdr>
        <w:spacing w:line="240" w:lineRule="auto"/>
        <w:ind w:leftChars="0" w:left="0" w:firstLineChars="0" w:firstLine="720"/>
        <w:jc w:val="both"/>
        <w:rPr>
          <w:color w:val="000000"/>
        </w:rPr>
      </w:pPr>
      <w:r w:rsidRPr="004112F6">
        <w:rPr>
          <w:color w:val="000000"/>
        </w:rPr>
        <w:t>Jaunā modeļa koncepts paredz līdzvērtīgu finansējuma apmēru līdzīgām izglītības iestādēm visā valsts teritorijā. Izglītības iestāde nodrošina izglītības procesu atbilstoši izglītojamā labākajām nākotnes interesēm, balstoties uz izglītojamā attīstības un izaugsmes potenciālu, nevis pielāgojot izglītojamā vajadzības izglītības iestādes iespējām. Jaunais modelis paredz, ka valsts budžeta finansējums mērķdotācijai pedagogu atalgojumam tiks piešķirts tām izglītības iestādēm, kuras atbilst noteiktiem kritērijiem par ilgtspējīgu izglītības iestādi. Gadījumos, kad izglītības iestāde neatbilst minētajiem kritērijiem (pieļaujamās novirzes ietvaros attiecībā uz kvantitatīvo kritēriju) valsts budžeta finansējums tiks samazināts.</w:t>
      </w:r>
    </w:p>
    <w:p w14:paraId="0C519648" w14:textId="77777777" w:rsidR="00832F85" w:rsidRPr="004112F6" w:rsidRDefault="006863B1" w:rsidP="00A211CC">
      <w:pPr>
        <w:ind w:leftChars="0" w:left="0" w:firstLineChars="0" w:firstLine="720"/>
        <w:jc w:val="both"/>
      </w:pPr>
      <w:r w:rsidRPr="004112F6">
        <w:t xml:space="preserve">Plānojot efektīvu vispārējās izglītības pārvaldību un nepieciešamību nodrošināt izglītības kvalitāti un līdzvērtīgas iespējas izglītības programmu apguvei neatkarīgi no izglītības iestādes atrašanās vietas, ņemot vērā pašvaldības izglītības iestādēm pieejamos materiāltehniskos un pedagoģiskos resursus, ir lietderīgi noteikt izglītojamo uzņemšanas nosacījumus vispārējās vidējās izglītības programmās 10. klasēs. </w:t>
      </w:r>
    </w:p>
    <w:p w14:paraId="30FF0154" w14:textId="190D177A" w:rsidR="00832F85" w:rsidRPr="004112F6" w:rsidRDefault="006863B1" w:rsidP="00A211CC">
      <w:pPr>
        <w:pBdr>
          <w:top w:val="nil"/>
          <w:left w:val="nil"/>
          <w:bottom w:val="nil"/>
          <w:right w:val="nil"/>
          <w:between w:val="nil"/>
        </w:pBdr>
        <w:spacing w:line="240" w:lineRule="auto"/>
        <w:ind w:leftChars="0" w:left="0" w:firstLineChars="0" w:firstLine="720"/>
        <w:jc w:val="both"/>
        <w:rPr>
          <w:color w:val="000000"/>
        </w:rPr>
      </w:pPr>
      <w:r w:rsidRPr="004112F6">
        <w:rPr>
          <w:color w:val="000000"/>
        </w:rPr>
        <w:t>Saskaņā ar pašvaldības domes pieņemtajiem lēmumiem, lai attīstītu optimālu un kvalitatīvu vispārējās izglītības piedāvājumu Ogres novadā, kas atbilstu pašvaldībā izvirzītajām prioritātēm un, pamatojoties uz Izglītības likuma 17. panta trešās daļas 1.</w:t>
      </w:r>
      <w:r w:rsidRPr="004112F6">
        <w:rPr>
          <w:color w:val="000000"/>
          <w:vertAlign w:val="superscript"/>
        </w:rPr>
        <w:t>2</w:t>
      </w:r>
      <w:r w:rsidRPr="004112F6">
        <w:rPr>
          <w:color w:val="000000"/>
        </w:rPr>
        <w:t xml:space="preserve"> punktu un Pašvaldību likuma </w:t>
      </w:r>
      <w:r w:rsidRPr="004112F6">
        <w:t>4</w:t>
      </w:r>
      <w:r w:rsidRPr="004112F6">
        <w:rPr>
          <w:color w:val="000000"/>
        </w:rPr>
        <w:t>. panta pirmās daļas 4. punktu,</w:t>
      </w:r>
    </w:p>
    <w:p w14:paraId="41E2BDB2" w14:textId="77777777" w:rsidR="00832F85" w:rsidRPr="004112F6" w:rsidRDefault="00832F85">
      <w:pPr>
        <w:ind w:left="0" w:hanging="2"/>
        <w:jc w:val="both"/>
      </w:pPr>
    </w:p>
    <w:p w14:paraId="0C04E8DF" w14:textId="7602A41C" w:rsidR="004B515B" w:rsidRDefault="004B515B" w:rsidP="004B515B">
      <w:pPr>
        <w:ind w:left="0" w:hanging="2"/>
        <w:jc w:val="center"/>
        <w:rPr>
          <w:b/>
        </w:rPr>
      </w:pPr>
      <w:r>
        <w:rPr>
          <w:b/>
        </w:rPr>
        <w:t xml:space="preserve">balsojot: </w:t>
      </w:r>
      <w:r w:rsidRPr="00CB2D18">
        <w:rPr>
          <w:b/>
          <w:noProof/>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Pr>
          <w:b/>
        </w:rPr>
        <w:t>,</w:t>
      </w:r>
      <w:bookmarkStart w:id="1" w:name="_GoBack"/>
      <w:bookmarkEnd w:id="1"/>
    </w:p>
    <w:p w14:paraId="33666A89" w14:textId="77777777" w:rsidR="004B515B" w:rsidRDefault="004B515B" w:rsidP="004B515B">
      <w:pPr>
        <w:ind w:left="0" w:hanging="2"/>
        <w:jc w:val="center"/>
        <w:rPr>
          <w:b/>
        </w:rPr>
      </w:pPr>
      <w:r w:rsidRPr="00B35BC8">
        <w:t>Ogres novada pašvaldības dome</w:t>
      </w:r>
      <w:r w:rsidRPr="00B35BC8">
        <w:rPr>
          <w:b/>
        </w:rPr>
        <w:t xml:space="preserve"> NOLEMJ:</w:t>
      </w:r>
    </w:p>
    <w:p w14:paraId="696D851E" w14:textId="77777777" w:rsidR="004C0E30" w:rsidRPr="004112F6" w:rsidRDefault="004C0E30" w:rsidP="004C0E30">
      <w:pPr>
        <w:pBdr>
          <w:top w:val="nil"/>
          <w:left w:val="nil"/>
          <w:bottom w:val="nil"/>
          <w:right w:val="nil"/>
          <w:between w:val="nil"/>
        </w:pBdr>
        <w:spacing w:line="240" w:lineRule="auto"/>
        <w:ind w:left="0" w:hanging="2"/>
        <w:jc w:val="center"/>
        <w:rPr>
          <w:b/>
          <w:color w:val="000000"/>
        </w:rPr>
      </w:pPr>
    </w:p>
    <w:p w14:paraId="3CB42BC3" w14:textId="695F94D5" w:rsidR="00A211CC" w:rsidRPr="004112F6" w:rsidRDefault="006863B1" w:rsidP="006863B1">
      <w:pPr>
        <w:pStyle w:val="Sarakstarindkopa"/>
        <w:numPr>
          <w:ilvl w:val="0"/>
          <w:numId w:val="1"/>
        </w:numPr>
        <w:pBdr>
          <w:top w:val="nil"/>
          <w:left w:val="nil"/>
          <w:bottom w:val="nil"/>
          <w:right w:val="nil"/>
          <w:between w:val="nil"/>
        </w:pBdr>
        <w:spacing w:line="240" w:lineRule="auto"/>
        <w:ind w:leftChars="0" w:left="284" w:firstLineChars="0" w:hanging="284"/>
        <w:jc w:val="both"/>
      </w:pPr>
      <w:bookmarkStart w:id="2" w:name="_heading=h.30j0zll" w:colFirst="0" w:colLast="0"/>
      <w:bookmarkEnd w:id="2"/>
      <w:r w:rsidRPr="004112F6">
        <w:rPr>
          <w:color w:val="000000"/>
        </w:rPr>
        <w:t>Noteikt 2025./2026. mācību gadā pašvaldības vispārējās izglītības iestāžu vispārējās vidējās izglītības programmā</w:t>
      </w:r>
      <w:r w:rsidR="00A211CC" w:rsidRPr="004112F6">
        <w:rPr>
          <w:color w:val="000000"/>
        </w:rPr>
        <w:t>:</w:t>
      </w:r>
    </w:p>
    <w:p w14:paraId="58DD2FE4" w14:textId="77777777" w:rsidR="00A211CC" w:rsidRPr="004112F6" w:rsidRDefault="00A211CC" w:rsidP="006863B1">
      <w:pPr>
        <w:pStyle w:val="Sarakstarindkopa"/>
        <w:pBdr>
          <w:top w:val="nil"/>
          <w:left w:val="nil"/>
          <w:bottom w:val="nil"/>
          <w:right w:val="nil"/>
          <w:between w:val="nil"/>
        </w:pBdr>
        <w:spacing w:line="240" w:lineRule="auto"/>
        <w:ind w:leftChars="0" w:left="360" w:firstLineChars="0" w:firstLine="0"/>
        <w:jc w:val="both"/>
      </w:pPr>
    </w:p>
    <w:p w14:paraId="5786B600" w14:textId="77777777" w:rsidR="00A211CC" w:rsidRPr="004112F6" w:rsidRDefault="006863B1" w:rsidP="006863B1">
      <w:pPr>
        <w:pStyle w:val="Sarakstarindkopa"/>
        <w:numPr>
          <w:ilvl w:val="1"/>
          <w:numId w:val="1"/>
        </w:numPr>
        <w:pBdr>
          <w:top w:val="nil"/>
          <w:left w:val="nil"/>
          <w:bottom w:val="nil"/>
          <w:right w:val="nil"/>
          <w:between w:val="nil"/>
        </w:pBdr>
        <w:spacing w:line="240" w:lineRule="auto"/>
        <w:ind w:leftChars="0" w:firstLineChars="0"/>
        <w:jc w:val="both"/>
      </w:pPr>
      <w:r w:rsidRPr="004112F6">
        <w:rPr>
          <w:color w:val="000000"/>
        </w:rPr>
        <w:t>minimāl</w:t>
      </w:r>
      <w:r w:rsidRPr="004112F6">
        <w:t>o</w:t>
      </w:r>
      <w:r w:rsidRPr="004112F6">
        <w:rPr>
          <w:color w:val="000000"/>
        </w:rPr>
        <w:t xml:space="preserve"> izglītojamo skait</w:t>
      </w:r>
      <w:r w:rsidRPr="004112F6">
        <w:t xml:space="preserve">u 10. klases atvēršanai - </w:t>
      </w:r>
      <w:r w:rsidRPr="004112F6">
        <w:rPr>
          <w:color w:val="000000"/>
        </w:rPr>
        <w:t>15 izglītojamie;</w:t>
      </w:r>
    </w:p>
    <w:p w14:paraId="4761CE26" w14:textId="59C15E54" w:rsidR="00832F85" w:rsidRPr="004112F6" w:rsidRDefault="006863B1" w:rsidP="006863B1">
      <w:pPr>
        <w:pStyle w:val="Sarakstarindkopa"/>
        <w:numPr>
          <w:ilvl w:val="1"/>
          <w:numId w:val="1"/>
        </w:numPr>
        <w:pBdr>
          <w:top w:val="nil"/>
          <w:left w:val="nil"/>
          <w:bottom w:val="nil"/>
          <w:right w:val="nil"/>
          <w:between w:val="nil"/>
        </w:pBdr>
        <w:spacing w:after="120" w:line="240" w:lineRule="auto"/>
        <w:ind w:leftChars="0" w:firstLineChars="0"/>
        <w:jc w:val="both"/>
      </w:pPr>
      <w:r w:rsidRPr="004112F6">
        <w:t xml:space="preserve">maksimālo </w:t>
      </w:r>
      <w:r w:rsidRPr="004112F6">
        <w:rPr>
          <w:color w:val="000000"/>
        </w:rPr>
        <w:t>10. klašu skait</w:t>
      </w:r>
      <w:r w:rsidRPr="004112F6">
        <w:t>u</w:t>
      </w:r>
      <w:r w:rsidRPr="004112F6">
        <w:rPr>
          <w:color w:val="000000"/>
        </w:rPr>
        <w:t xml:space="preserve"> un maksimāli uzņemamo izglītojamo skait</w:t>
      </w:r>
      <w:r w:rsidRPr="004112F6">
        <w:t>u</w:t>
      </w:r>
      <w:r w:rsidRPr="004112F6">
        <w:rPr>
          <w:color w:val="000000"/>
        </w:rPr>
        <w:t xml:space="preserve"> vienā klasē:</w:t>
      </w:r>
    </w:p>
    <w:tbl>
      <w:tblPr>
        <w:tblStyle w:val="a0"/>
        <w:tblW w:w="92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0"/>
        <w:gridCol w:w="2415"/>
        <w:gridCol w:w="2700"/>
      </w:tblGrid>
      <w:tr w:rsidR="00832F85" w:rsidRPr="004112F6" w14:paraId="2303DB13" w14:textId="77777777" w:rsidTr="004C0E30">
        <w:trPr>
          <w:trHeight w:val="558"/>
        </w:trPr>
        <w:tc>
          <w:tcPr>
            <w:tcW w:w="4110" w:type="dxa"/>
            <w:shd w:val="clear" w:color="auto" w:fill="auto"/>
            <w:vAlign w:val="center"/>
          </w:tcPr>
          <w:p w14:paraId="0E2E5F8D" w14:textId="77777777" w:rsidR="00832F85" w:rsidRPr="004112F6" w:rsidRDefault="006863B1" w:rsidP="004C0E30">
            <w:pPr>
              <w:spacing w:line="240" w:lineRule="auto"/>
              <w:ind w:left="0" w:hanging="2"/>
              <w:jc w:val="center"/>
              <w:rPr>
                <w:color w:val="000000"/>
              </w:rPr>
            </w:pPr>
            <w:r w:rsidRPr="004112F6">
              <w:rPr>
                <w:color w:val="000000"/>
              </w:rPr>
              <w:t>Izglītības iestāde</w:t>
            </w:r>
          </w:p>
        </w:tc>
        <w:tc>
          <w:tcPr>
            <w:tcW w:w="2415" w:type="dxa"/>
            <w:shd w:val="clear" w:color="auto" w:fill="auto"/>
            <w:vAlign w:val="center"/>
          </w:tcPr>
          <w:p w14:paraId="24144C3D" w14:textId="77777777" w:rsidR="00832F85" w:rsidRPr="004112F6" w:rsidRDefault="006863B1" w:rsidP="004C0E30">
            <w:pPr>
              <w:spacing w:line="240" w:lineRule="auto"/>
              <w:ind w:left="0" w:hanging="2"/>
              <w:jc w:val="center"/>
              <w:rPr>
                <w:color w:val="000000"/>
              </w:rPr>
            </w:pPr>
            <w:r w:rsidRPr="004112F6">
              <w:rPr>
                <w:color w:val="000000"/>
              </w:rPr>
              <w:t>Maksimālais</w:t>
            </w:r>
          </w:p>
          <w:p w14:paraId="39BD737D" w14:textId="77777777" w:rsidR="00832F85" w:rsidRPr="004112F6" w:rsidRDefault="006863B1" w:rsidP="004C0E30">
            <w:pPr>
              <w:spacing w:line="240" w:lineRule="auto"/>
              <w:ind w:left="0" w:hanging="2"/>
              <w:jc w:val="center"/>
              <w:rPr>
                <w:color w:val="000000"/>
              </w:rPr>
            </w:pPr>
            <w:r w:rsidRPr="004112F6">
              <w:rPr>
                <w:color w:val="000000"/>
              </w:rPr>
              <w:t>10. klašu skaits</w:t>
            </w:r>
          </w:p>
        </w:tc>
        <w:tc>
          <w:tcPr>
            <w:tcW w:w="2700" w:type="dxa"/>
            <w:shd w:val="clear" w:color="auto" w:fill="auto"/>
            <w:vAlign w:val="center"/>
          </w:tcPr>
          <w:p w14:paraId="34044625" w14:textId="77777777" w:rsidR="00832F85" w:rsidRPr="004112F6" w:rsidRDefault="006863B1" w:rsidP="004C0E30">
            <w:pPr>
              <w:spacing w:line="240" w:lineRule="auto"/>
              <w:ind w:left="0" w:hanging="2"/>
              <w:jc w:val="center"/>
              <w:rPr>
                <w:color w:val="000000"/>
              </w:rPr>
            </w:pPr>
            <w:r w:rsidRPr="004112F6">
              <w:rPr>
                <w:color w:val="000000"/>
              </w:rPr>
              <w:t>Maksimālais izglītojamo skaits vienā klasē</w:t>
            </w:r>
          </w:p>
        </w:tc>
      </w:tr>
      <w:tr w:rsidR="00832F85" w:rsidRPr="004112F6" w14:paraId="3ECD42DB" w14:textId="77777777">
        <w:trPr>
          <w:trHeight w:val="300"/>
        </w:trPr>
        <w:tc>
          <w:tcPr>
            <w:tcW w:w="4110" w:type="dxa"/>
            <w:shd w:val="clear" w:color="auto" w:fill="auto"/>
            <w:vAlign w:val="bottom"/>
          </w:tcPr>
          <w:p w14:paraId="65F83560" w14:textId="77777777" w:rsidR="00832F85" w:rsidRPr="004112F6" w:rsidRDefault="006863B1" w:rsidP="004C0E30">
            <w:pPr>
              <w:spacing w:line="240" w:lineRule="auto"/>
              <w:ind w:left="0" w:hanging="2"/>
              <w:rPr>
                <w:color w:val="000000"/>
              </w:rPr>
            </w:pPr>
            <w:r w:rsidRPr="004112F6">
              <w:rPr>
                <w:color w:val="000000"/>
              </w:rPr>
              <w:t>Edgara Kauliņa Lielvārdes vidusskola</w:t>
            </w:r>
          </w:p>
        </w:tc>
        <w:tc>
          <w:tcPr>
            <w:tcW w:w="2415" w:type="dxa"/>
            <w:shd w:val="clear" w:color="auto" w:fill="auto"/>
            <w:vAlign w:val="center"/>
          </w:tcPr>
          <w:p w14:paraId="7E249D08" w14:textId="77777777" w:rsidR="00832F85" w:rsidRPr="004112F6" w:rsidRDefault="006863B1" w:rsidP="004C0E30">
            <w:pPr>
              <w:spacing w:line="240" w:lineRule="auto"/>
              <w:ind w:left="0" w:hanging="2"/>
              <w:jc w:val="center"/>
              <w:rPr>
                <w:color w:val="000000"/>
              </w:rPr>
            </w:pPr>
            <w:r w:rsidRPr="004112F6">
              <w:rPr>
                <w:color w:val="000000"/>
              </w:rPr>
              <w:t>3</w:t>
            </w:r>
          </w:p>
        </w:tc>
        <w:tc>
          <w:tcPr>
            <w:tcW w:w="2700" w:type="dxa"/>
            <w:shd w:val="clear" w:color="auto" w:fill="auto"/>
            <w:vAlign w:val="center"/>
          </w:tcPr>
          <w:p w14:paraId="5DA93118" w14:textId="77777777" w:rsidR="00832F85" w:rsidRPr="004112F6" w:rsidRDefault="006863B1" w:rsidP="004C0E30">
            <w:pPr>
              <w:spacing w:line="240" w:lineRule="auto"/>
              <w:ind w:left="0" w:hanging="2"/>
              <w:jc w:val="center"/>
              <w:rPr>
                <w:color w:val="000000"/>
              </w:rPr>
            </w:pPr>
            <w:r w:rsidRPr="004112F6">
              <w:rPr>
                <w:color w:val="000000"/>
              </w:rPr>
              <w:t>26</w:t>
            </w:r>
          </w:p>
        </w:tc>
      </w:tr>
      <w:tr w:rsidR="00832F85" w:rsidRPr="004112F6" w14:paraId="3F7CBFAE" w14:textId="77777777">
        <w:trPr>
          <w:trHeight w:val="300"/>
        </w:trPr>
        <w:tc>
          <w:tcPr>
            <w:tcW w:w="4110" w:type="dxa"/>
            <w:shd w:val="clear" w:color="auto" w:fill="auto"/>
            <w:vAlign w:val="bottom"/>
          </w:tcPr>
          <w:p w14:paraId="638A9CEE" w14:textId="77777777" w:rsidR="00832F85" w:rsidRPr="004112F6" w:rsidRDefault="006863B1" w:rsidP="004C0E30">
            <w:pPr>
              <w:spacing w:line="240" w:lineRule="auto"/>
              <w:ind w:left="0" w:hanging="2"/>
              <w:rPr>
                <w:color w:val="000000"/>
              </w:rPr>
            </w:pPr>
            <w:r w:rsidRPr="004112F6">
              <w:rPr>
                <w:color w:val="000000"/>
              </w:rPr>
              <w:t>Ikšķiles vidusskola</w:t>
            </w:r>
          </w:p>
        </w:tc>
        <w:tc>
          <w:tcPr>
            <w:tcW w:w="2415" w:type="dxa"/>
            <w:shd w:val="clear" w:color="auto" w:fill="auto"/>
            <w:vAlign w:val="center"/>
          </w:tcPr>
          <w:p w14:paraId="57B33A57" w14:textId="77777777" w:rsidR="00832F85" w:rsidRPr="004112F6" w:rsidRDefault="006863B1" w:rsidP="004C0E30">
            <w:pPr>
              <w:spacing w:line="240" w:lineRule="auto"/>
              <w:ind w:left="0" w:hanging="2"/>
              <w:jc w:val="center"/>
              <w:rPr>
                <w:color w:val="000000"/>
              </w:rPr>
            </w:pPr>
            <w:r w:rsidRPr="004112F6">
              <w:rPr>
                <w:color w:val="000000"/>
              </w:rPr>
              <w:t>3</w:t>
            </w:r>
          </w:p>
        </w:tc>
        <w:tc>
          <w:tcPr>
            <w:tcW w:w="2700" w:type="dxa"/>
            <w:shd w:val="clear" w:color="auto" w:fill="auto"/>
            <w:vAlign w:val="center"/>
          </w:tcPr>
          <w:p w14:paraId="11D1FA51" w14:textId="77777777" w:rsidR="00832F85" w:rsidRPr="004112F6" w:rsidRDefault="006863B1" w:rsidP="004C0E30">
            <w:pPr>
              <w:spacing w:line="240" w:lineRule="auto"/>
              <w:ind w:left="0" w:hanging="2"/>
              <w:jc w:val="center"/>
              <w:rPr>
                <w:color w:val="000000"/>
              </w:rPr>
            </w:pPr>
            <w:r w:rsidRPr="004112F6">
              <w:rPr>
                <w:color w:val="000000"/>
              </w:rPr>
              <w:t>26</w:t>
            </w:r>
          </w:p>
        </w:tc>
      </w:tr>
      <w:tr w:rsidR="00832F85" w:rsidRPr="004112F6" w14:paraId="346EE477" w14:textId="77777777">
        <w:trPr>
          <w:trHeight w:val="300"/>
        </w:trPr>
        <w:tc>
          <w:tcPr>
            <w:tcW w:w="4110" w:type="dxa"/>
            <w:shd w:val="clear" w:color="auto" w:fill="auto"/>
            <w:vAlign w:val="bottom"/>
          </w:tcPr>
          <w:p w14:paraId="2FD25047" w14:textId="77777777" w:rsidR="00832F85" w:rsidRPr="004112F6" w:rsidRDefault="006863B1" w:rsidP="004C0E30">
            <w:pPr>
              <w:spacing w:line="240" w:lineRule="auto"/>
              <w:ind w:left="0" w:hanging="2"/>
              <w:rPr>
                <w:color w:val="000000"/>
              </w:rPr>
            </w:pPr>
            <w:r w:rsidRPr="004112F6">
              <w:rPr>
                <w:color w:val="000000"/>
              </w:rPr>
              <w:t>Madlienas vidusskola</w:t>
            </w:r>
          </w:p>
        </w:tc>
        <w:tc>
          <w:tcPr>
            <w:tcW w:w="2415" w:type="dxa"/>
            <w:shd w:val="clear" w:color="auto" w:fill="auto"/>
            <w:vAlign w:val="center"/>
          </w:tcPr>
          <w:p w14:paraId="325E7402" w14:textId="77777777" w:rsidR="00832F85" w:rsidRPr="004112F6" w:rsidRDefault="006863B1" w:rsidP="004C0E30">
            <w:pPr>
              <w:spacing w:line="240" w:lineRule="auto"/>
              <w:ind w:left="0" w:hanging="2"/>
              <w:jc w:val="center"/>
              <w:rPr>
                <w:color w:val="000000"/>
              </w:rPr>
            </w:pPr>
            <w:r w:rsidRPr="004112F6">
              <w:rPr>
                <w:color w:val="000000"/>
              </w:rPr>
              <w:t>1</w:t>
            </w:r>
          </w:p>
        </w:tc>
        <w:tc>
          <w:tcPr>
            <w:tcW w:w="2700" w:type="dxa"/>
            <w:shd w:val="clear" w:color="auto" w:fill="auto"/>
            <w:vAlign w:val="center"/>
          </w:tcPr>
          <w:p w14:paraId="6C953DC0" w14:textId="77777777" w:rsidR="00832F85" w:rsidRPr="004112F6" w:rsidRDefault="006863B1" w:rsidP="004C0E30">
            <w:pPr>
              <w:spacing w:line="240" w:lineRule="auto"/>
              <w:ind w:left="0" w:hanging="2"/>
              <w:jc w:val="center"/>
              <w:rPr>
                <w:color w:val="000000"/>
              </w:rPr>
            </w:pPr>
            <w:r w:rsidRPr="004112F6">
              <w:rPr>
                <w:color w:val="000000"/>
              </w:rPr>
              <w:t>26</w:t>
            </w:r>
          </w:p>
        </w:tc>
      </w:tr>
      <w:tr w:rsidR="00832F85" w:rsidRPr="004112F6" w14:paraId="2CE01872" w14:textId="77777777">
        <w:trPr>
          <w:trHeight w:val="300"/>
        </w:trPr>
        <w:tc>
          <w:tcPr>
            <w:tcW w:w="4110" w:type="dxa"/>
            <w:shd w:val="clear" w:color="auto" w:fill="auto"/>
            <w:vAlign w:val="bottom"/>
          </w:tcPr>
          <w:p w14:paraId="1D3F6A7F" w14:textId="77777777" w:rsidR="00832F85" w:rsidRPr="004112F6" w:rsidRDefault="006863B1" w:rsidP="004C0E30">
            <w:pPr>
              <w:spacing w:line="240" w:lineRule="auto"/>
              <w:ind w:left="0" w:hanging="2"/>
              <w:rPr>
                <w:color w:val="000000"/>
              </w:rPr>
            </w:pPr>
            <w:r w:rsidRPr="004112F6">
              <w:rPr>
                <w:color w:val="000000"/>
              </w:rPr>
              <w:t>Ogres Valsts ģimnāzija</w:t>
            </w:r>
          </w:p>
        </w:tc>
        <w:tc>
          <w:tcPr>
            <w:tcW w:w="2415" w:type="dxa"/>
            <w:shd w:val="clear" w:color="auto" w:fill="auto"/>
            <w:vAlign w:val="center"/>
          </w:tcPr>
          <w:p w14:paraId="24E545A2" w14:textId="77777777" w:rsidR="00832F85" w:rsidRPr="004112F6" w:rsidRDefault="006863B1" w:rsidP="004C0E30">
            <w:pPr>
              <w:spacing w:line="240" w:lineRule="auto"/>
              <w:ind w:left="0" w:hanging="2"/>
              <w:jc w:val="center"/>
              <w:rPr>
                <w:color w:val="000000"/>
              </w:rPr>
            </w:pPr>
            <w:r w:rsidRPr="004112F6">
              <w:rPr>
                <w:color w:val="000000"/>
              </w:rPr>
              <w:t>9</w:t>
            </w:r>
          </w:p>
        </w:tc>
        <w:tc>
          <w:tcPr>
            <w:tcW w:w="2700" w:type="dxa"/>
            <w:shd w:val="clear" w:color="auto" w:fill="auto"/>
            <w:vAlign w:val="center"/>
          </w:tcPr>
          <w:p w14:paraId="0AAD13DF" w14:textId="77777777" w:rsidR="00832F85" w:rsidRPr="004112F6" w:rsidRDefault="006863B1" w:rsidP="004C0E30">
            <w:pPr>
              <w:spacing w:line="240" w:lineRule="auto"/>
              <w:ind w:left="0" w:hanging="2"/>
              <w:jc w:val="center"/>
              <w:rPr>
                <w:color w:val="000000"/>
              </w:rPr>
            </w:pPr>
            <w:r w:rsidRPr="004112F6">
              <w:rPr>
                <w:color w:val="000000"/>
              </w:rPr>
              <w:t>28</w:t>
            </w:r>
          </w:p>
        </w:tc>
      </w:tr>
    </w:tbl>
    <w:p w14:paraId="505B8BD1" w14:textId="77777777" w:rsidR="00A211CC" w:rsidRPr="004112F6" w:rsidRDefault="00A211CC" w:rsidP="004C0E30">
      <w:pPr>
        <w:pBdr>
          <w:top w:val="nil"/>
          <w:left w:val="nil"/>
          <w:bottom w:val="nil"/>
          <w:right w:val="nil"/>
          <w:between w:val="nil"/>
        </w:pBdr>
        <w:spacing w:line="240" w:lineRule="auto"/>
        <w:ind w:leftChars="0" w:left="0" w:firstLineChars="0" w:firstLine="0"/>
        <w:jc w:val="both"/>
        <w:rPr>
          <w:color w:val="000000"/>
        </w:rPr>
      </w:pPr>
    </w:p>
    <w:p w14:paraId="32F58459" w14:textId="77777777" w:rsidR="00A211CC" w:rsidRPr="004112F6" w:rsidRDefault="006863B1" w:rsidP="006863B1">
      <w:pPr>
        <w:pStyle w:val="Sarakstarindkopa"/>
        <w:numPr>
          <w:ilvl w:val="0"/>
          <w:numId w:val="1"/>
        </w:numPr>
        <w:pBdr>
          <w:top w:val="nil"/>
          <w:left w:val="nil"/>
          <w:bottom w:val="nil"/>
          <w:right w:val="nil"/>
          <w:between w:val="nil"/>
        </w:pBdr>
        <w:spacing w:after="120" w:line="240" w:lineRule="auto"/>
        <w:ind w:leftChars="0" w:left="284" w:firstLineChars="0" w:hanging="284"/>
        <w:jc w:val="both"/>
        <w:rPr>
          <w:color w:val="000000"/>
        </w:rPr>
      </w:pPr>
      <w:r w:rsidRPr="004112F6">
        <w:rPr>
          <w:color w:val="000000"/>
        </w:rPr>
        <w:t>Ja objektīvu apstākļu dēļ izglītības iestādes nevar ievērot š</w:t>
      </w:r>
      <w:r w:rsidRPr="004112F6">
        <w:t xml:space="preserve">ā </w:t>
      </w:r>
      <w:r w:rsidRPr="004112F6">
        <w:rPr>
          <w:color w:val="000000"/>
        </w:rPr>
        <w:t>lēmuma 1. punktā noteikto, Ogres novada Izglītības pārvaldes vadītājs, pamatojoties uz izglītības iestādes rakstisku informāciju ar pamatojumu par nepieciešamajām izmaiņām, ir tiesīgs saskaņot klašu skaita izmaiņas un izglītojamo skaita izmaiņas klašu grupā.</w:t>
      </w:r>
    </w:p>
    <w:p w14:paraId="1882ED2F" w14:textId="13AEB137" w:rsidR="00832F85" w:rsidRPr="004112F6" w:rsidRDefault="006863B1" w:rsidP="006863B1">
      <w:pPr>
        <w:pStyle w:val="Sarakstarindkopa"/>
        <w:numPr>
          <w:ilvl w:val="0"/>
          <w:numId w:val="1"/>
        </w:numPr>
        <w:pBdr>
          <w:top w:val="nil"/>
          <w:left w:val="nil"/>
          <w:bottom w:val="nil"/>
          <w:right w:val="nil"/>
          <w:between w:val="nil"/>
        </w:pBdr>
        <w:spacing w:before="120" w:after="120" w:line="240" w:lineRule="auto"/>
        <w:ind w:leftChars="0" w:left="284" w:firstLineChars="0" w:hanging="284"/>
        <w:jc w:val="both"/>
        <w:rPr>
          <w:color w:val="000000"/>
        </w:rPr>
      </w:pPr>
      <w:r w:rsidRPr="004112F6">
        <w:rPr>
          <w:color w:val="000000"/>
        </w:rPr>
        <w:t>Kontroli par lēmuma izpildi uzdot Ogres novada pašvaldības izpilddirektoram.</w:t>
      </w:r>
    </w:p>
    <w:p w14:paraId="71D1D4ED" w14:textId="77777777" w:rsidR="00832F85" w:rsidRPr="004112F6" w:rsidRDefault="00832F85" w:rsidP="006863B1">
      <w:pPr>
        <w:pBdr>
          <w:top w:val="nil"/>
          <w:left w:val="nil"/>
          <w:bottom w:val="nil"/>
          <w:right w:val="nil"/>
          <w:between w:val="nil"/>
        </w:pBdr>
        <w:spacing w:line="240" w:lineRule="auto"/>
        <w:ind w:left="0" w:hanging="2"/>
        <w:rPr>
          <w:color w:val="000000"/>
        </w:rPr>
      </w:pPr>
    </w:p>
    <w:p w14:paraId="19E2726C" w14:textId="77777777" w:rsidR="00832F85" w:rsidRPr="004112F6" w:rsidRDefault="00832F85" w:rsidP="004C0E30">
      <w:pPr>
        <w:spacing w:line="240" w:lineRule="auto"/>
        <w:ind w:left="0" w:hanging="2"/>
        <w:jc w:val="right"/>
      </w:pPr>
    </w:p>
    <w:p w14:paraId="1F4C697C" w14:textId="77777777" w:rsidR="00832F85" w:rsidRPr="004112F6" w:rsidRDefault="006863B1" w:rsidP="004C0E30">
      <w:pPr>
        <w:spacing w:line="240" w:lineRule="auto"/>
        <w:ind w:left="0" w:hanging="2"/>
        <w:jc w:val="right"/>
      </w:pPr>
      <w:r w:rsidRPr="004112F6">
        <w:t>(Sēdes vadītāja,</w:t>
      </w:r>
    </w:p>
    <w:p w14:paraId="51778221" w14:textId="31AE6D2F" w:rsidR="00832F85" w:rsidRPr="004112F6" w:rsidRDefault="006863B1" w:rsidP="004C0E30">
      <w:pPr>
        <w:spacing w:line="240" w:lineRule="auto"/>
        <w:ind w:left="0" w:hanging="2"/>
        <w:jc w:val="right"/>
      </w:pPr>
      <w:r w:rsidRPr="004112F6">
        <w:t>domes priekšsēdētāja E. Helmaņa paraksts)</w:t>
      </w:r>
    </w:p>
    <w:sectPr w:rsidR="00832F85" w:rsidRPr="004112F6">
      <w:footerReference w:type="default" r:id="rId10"/>
      <w:pgSz w:w="11906" w:h="16838"/>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4B49E" w14:textId="77777777" w:rsidR="00892C70" w:rsidRDefault="00892C70">
      <w:pPr>
        <w:spacing w:line="240" w:lineRule="auto"/>
        <w:ind w:left="0" w:hanging="2"/>
      </w:pPr>
      <w:r>
        <w:separator/>
      </w:r>
    </w:p>
  </w:endnote>
  <w:endnote w:type="continuationSeparator" w:id="0">
    <w:p w14:paraId="06304016" w14:textId="77777777" w:rsidR="00892C70" w:rsidRDefault="00892C7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016B3" w14:textId="77777777" w:rsidR="00832F85" w:rsidRDefault="006863B1">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B515B">
      <w:rPr>
        <w:noProof/>
        <w:color w:val="000000"/>
      </w:rPr>
      <w:t>3</w:t>
    </w:r>
    <w:r>
      <w:rPr>
        <w:color w:val="000000"/>
      </w:rPr>
      <w:fldChar w:fldCharType="end"/>
    </w:r>
  </w:p>
  <w:p w14:paraId="0F83797E" w14:textId="77777777" w:rsidR="00832F85" w:rsidRDefault="00832F85">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B8E95" w14:textId="77777777" w:rsidR="00892C70" w:rsidRDefault="00892C70">
      <w:pPr>
        <w:spacing w:line="240" w:lineRule="auto"/>
        <w:ind w:left="0" w:hanging="2"/>
      </w:pPr>
      <w:r>
        <w:separator/>
      </w:r>
    </w:p>
  </w:footnote>
  <w:footnote w:type="continuationSeparator" w:id="0">
    <w:p w14:paraId="2F538436" w14:textId="77777777" w:rsidR="00892C70" w:rsidRDefault="00892C70">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87B"/>
    <w:multiLevelType w:val="hybridMultilevel"/>
    <w:tmpl w:val="147E7D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FF6377"/>
    <w:multiLevelType w:val="hybridMultilevel"/>
    <w:tmpl w:val="31A4CD3E"/>
    <w:lvl w:ilvl="0" w:tplc="5A4449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4D91F58"/>
    <w:multiLevelType w:val="multilevel"/>
    <w:tmpl w:val="0426001F"/>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85"/>
    <w:rsid w:val="002B76EC"/>
    <w:rsid w:val="004112F6"/>
    <w:rsid w:val="004B515B"/>
    <w:rsid w:val="004C0E30"/>
    <w:rsid w:val="006863B1"/>
    <w:rsid w:val="00832F85"/>
    <w:rsid w:val="00892C70"/>
    <w:rsid w:val="009304EF"/>
    <w:rsid w:val="00A05131"/>
    <w:rsid w:val="00A211CC"/>
    <w:rsid w:val="00BE3509"/>
    <w:rsid w:val="00CF3B47"/>
    <w:rsid w:val="00D208E2"/>
    <w:rsid w:val="00EC15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B7C5"/>
  <w15:docId w15:val="{1A788371-6419-43A7-9833-5EE7E2E7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spacing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3676"/>
    <w:pPr>
      <w:suppressAutoHyphens/>
      <w:spacing w:line="1" w:lineRule="atLeast"/>
      <w:ind w:leftChars="-1" w:left="-1" w:hangingChars="1"/>
      <w:textDirection w:val="btLr"/>
      <w:textAlignment w:val="top"/>
      <w:outlineLvl w:val="0"/>
    </w:pPr>
    <w:rPr>
      <w:position w:val="-1"/>
    </w:rPr>
  </w:style>
  <w:style w:type="paragraph" w:styleId="Virsraksts1">
    <w:name w:val="heading 1"/>
    <w:basedOn w:val="Parasts"/>
    <w:next w:val="Parasts"/>
    <w:link w:val="Virsraksts1Rakstz"/>
    <w:uiPriority w:val="9"/>
    <w:qFormat/>
    <w:rsid w:val="003A3676"/>
    <w:pPr>
      <w:keepNext/>
      <w:keepLines/>
      <w:spacing w:before="360" w:after="8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3A36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A367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3A367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3A367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3A367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A367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A367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A367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A36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Virsraksts1Rakstz">
    <w:name w:val="Virsraksts 1 Rakstz."/>
    <w:basedOn w:val="Noklusjumarindkopasfonts"/>
    <w:link w:val="Virsraksts1"/>
    <w:uiPriority w:val="9"/>
    <w:rsid w:val="003A367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A367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A367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A367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A367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3A367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A367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A367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A3676"/>
    <w:rPr>
      <w:rFonts w:eastAsiaTheme="majorEastAsia" w:cstheme="majorBidi"/>
      <w:color w:val="272727" w:themeColor="text1" w:themeTint="D8"/>
    </w:rPr>
  </w:style>
  <w:style w:type="character" w:customStyle="1" w:styleId="NosaukumsRakstz">
    <w:name w:val="Nosaukums Rakstz."/>
    <w:basedOn w:val="Noklusjumarindkopasfonts"/>
    <w:link w:val="Nosaukums"/>
    <w:uiPriority w:val="10"/>
    <w:rsid w:val="003A367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pPr>
      <w:ind w:left="0"/>
    </w:pPr>
    <w:rPr>
      <w:color w:val="595959"/>
      <w:sz w:val="28"/>
      <w:szCs w:val="28"/>
    </w:rPr>
  </w:style>
  <w:style w:type="character" w:customStyle="1" w:styleId="ApakvirsrakstsRakstz">
    <w:name w:val="Apakšvirsraksts Rakstz."/>
    <w:basedOn w:val="Noklusjumarindkopasfonts"/>
    <w:link w:val="Apakvirsraksts"/>
    <w:uiPriority w:val="11"/>
    <w:rsid w:val="003A367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A367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A3676"/>
    <w:rPr>
      <w:i/>
      <w:iCs/>
      <w:color w:val="404040" w:themeColor="text1" w:themeTint="BF"/>
    </w:rPr>
  </w:style>
  <w:style w:type="paragraph" w:styleId="Sarakstarindkopa">
    <w:name w:val="List Paragraph"/>
    <w:basedOn w:val="Parasts"/>
    <w:uiPriority w:val="34"/>
    <w:qFormat/>
    <w:rsid w:val="003A3676"/>
    <w:pPr>
      <w:ind w:left="720"/>
      <w:contextualSpacing/>
    </w:pPr>
  </w:style>
  <w:style w:type="character" w:styleId="Intensvsizclums">
    <w:name w:val="Intense Emphasis"/>
    <w:basedOn w:val="Noklusjumarindkopasfonts"/>
    <w:uiPriority w:val="21"/>
    <w:qFormat/>
    <w:rsid w:val="003A3676"/>
    <w:rPr>
      <w:i/>
      <w:iCs/>
      <w:color w:val="2F5496" w:themeColor="accent1" w:themeShade="BF"/>
    </w:rPr>
  </w:style>
  <w:style w:type="paragraph" w:styleId="Intensvscitts">
    <w:name w:val="Intense Quote"/>
    <w:basedOn w:val="Parasts"/>
    <w:next w:val="Parasts"/>
    <w:link w:val="IntensvscittsRakstz"/>
    <w:uiPriority w:val="30"/>
    <w:qFormat/>
    <w:rsid w:val="003A3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3A3676"/>
    <w:rPr>
      <w:i/>
      <w:iCs/>
      <w:color w:val="2F5496" w:themeColor="accent1" w:themeShade="BF"/>
    </w:rPr>
  </w:style>
  <w:style w:type="character" w:styleId="Intensvaatsauce">
    <w:name w:val="Intense Reference"/>
    <w:basedOn w:val="Noklusjumarindkopasfonts"/>
    <w:uiPriority w:val="32"/>
    <w:qFormat/>
    <w:rsid w:val="003A3676"/>
    <w:rPr>
      <w:b/>
      <w:bCs/>
      <w:smallCaps/>
      <w:color w:val="2F5496" w:themeColor="accent1" w:themeShade="BF"/>
      <w:spacing w:val="5"/>
    </w:rPr>
  </w:style>
  <w:style w:type="paragraph" w:customStyle="1" w:styleId="naisf">
    <w:name w:val="naisf"/>
    <w:basedOn w:val="Parasts"/>
    <w:uiPriority w:val="99"/>
    <w:rsid w:val="00297E0E"/>
    <w:pPr>
      <w:suppressAutoHyphens w:val="0"/>
      <w:spacing w:before="75" w:after="75" w:line="240" w:lineRule="auto"/>
      <w:ind w:leftChars="0" w:left="0" w:firstLineChars="0" w:firstLine="375"/>
      <w:jc w:val="both"/>
      <w:textDirection w:val="lrTb"/>
      <w:textAlignment w:val="auto"/>
      <w:outlineLvl w:val="9"/>
    </w:pPr>
    <w:rPr>
      <w:position w:val="0"/>
    </w:rPr>
  </w:style>
  <w:style w:type="paragraph" w:styleId="Pamattekstaatkpe2">
    <w:name w:val="Body Text Indent 2"/>
    <w:basedOn w:val="Parasts"/>
    <w:link w:val="Pamattekstaatkpe2Rakstz"/>
    <w:semiHidden/>
    <w:rsid w:val="009C65BF"/>
    <w:pPr>
      <w:suppressAutoHyphens w:val="0"/>
      <w:spacing w:line="240" w:lineRule="auto"/>
      <w:ind w:leftChars="0" w:left="-142" w:firstLineChars="0" w:firstLine="0"/>
      <w:jc w:val="both"/>
      <w:textDirection w:val="lrTb"/>
      <w:textAlignment w:val="auto"/>
      <w:outlineLvl w:val="9"/>
    </w:pPr>
    <w:rPr>
      <w:position w:val="0"/>
      <w:szCs w:val="20"/>
    </w:rPr>
  </w:style>
  <w:style w:type="character" w:customStyle="1" w:styleId="Pamattekstaatkpe2Rakstz">
    <w:name w:val="Pamatteksta atkāpe 2 Rakstz."/>
    <w:basedOn w:val="Noklusjumarindkopasfonts"/>
    <w:link w:val="Pamattekstaatkpe2"/>
    <w:semiHidden/>
    <w:rsid w:val="009C65BF"/>
    <w:rPr>
      <w:rFonts w:ascii="Times New Roman" w:eastAsia="Times New Roman" w:hAnsi="Times New Roman" w:cs="Times New Roman"/>
      <w:kern w:val="0"/>
      <w:sz w:val="24"/>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pbh/b10K6BLPpLV7d9Ohq6FEjA==">CgMxLjAyCGguZ2pkZ3hzMgloLjMwajB6bGw4AGooChRzdWdnZXN0LjM2OW5icHRxam5hbxIQSWdvcnMgR3JpZ29yamV2c2ooChRzdWdnZXN0Lm1hbjhyOXNrNTdqdhIQSWdvcnMgR3JpZ29yamV2c2ooChRzdWdnZXN0Ljg0NGkzZmQ2MnVtaxIQSWdvcnMgR3JpZ29yamV2c2ooChRzdWdnZXN0LnFpbGEzeTIxMndmMBIQSWdvcnMgR3JpZ29yamV2c2opChRzdWdnZXN0LjhxZGRvZjFpNGxkahIRS3Jpc3TEq25lIFJvc3Rva2FqKAoUc3VnZ2VzdC5yOThwa3NudnNjZXYSEElnb3JzIEdyaWdvcmpldnNqKAoUc3VnZ2VzdC5sbnNmNDIzeHNrMXUSEElnb3JzIEdyaWdvcmpldnNyITFsMDB1WHYtWjVGWHo2OWR5WTI4WU5FcDkxR2ZiZWxB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CA6555-14FF-489C-A782-3384DDA4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5196</Words>
  <Characters>2963</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Ingūna Šubrovska</cp:lastModifiedBy>
  <cp:revision>2</cp:revision>
  <dcterms:created xsi:type="dcterms:W3CDTF">2025-03-27T10:32:00Z</dcterms:created>
  <dcterms:modified xsi:type="dcterms:W3CDTF">2025-03-27T10:32:00Z</dcterms:modified>
</cp:coreProperties>
</file>