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9690"/>
      </w:tblGrid>
      <w:tr w:rsidR="0044136F" w14:paraId="3B56F295" w14:textId="77777777" w:rsidTr="0044136F">
        <w:trPr>
          <w:trHeight w:val="567"/>
        </w:trPr>
        <w:tc>
          <w:tcPr>
            <w:tcW w:w="969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D35C796" w14:textId="2AB8D2B2" w:rsidR="0044136F" w:rsidRDefault="0044136F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Cs w:val="28"/>
              </w:rPr>
              <w:drawing>
                <wp:inline distT="0" distB="0" distL="0" distR="0" wp14:anchorId="60829909" wp14:editId="0031AE7E">
                  <wp:extent cx="609600" cy="723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68CBF" w14:textId="77777777" w:rsidR="0044136F" w:rsidRDefault="0044136F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OGRES  NOVADA  PAŠVALDĪBA</w:t>
            </w:r>
          </w:p>
          <w:p w14:paraId="3EC271A0" w14:textId="77777777" w:rsidR="0044136F" w:rsidRDefault="0044136F">
            <w:pPr>
              <w:spacing w:line="240" w:lineRule="auto"/>
              <w:ind w:left="4" w:hanging="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BIRZGALES MŪZIKAS SKOLA</w:t>
            </w:r>
          </w:p>
          <w:p w14:paraId="448DD2BA" w14:textId="77777777" w:rsidR="0044136F" w:rsidRDefault="0044136F">
            <w:pPr>
              <w:spacing w:line="240" w:lineRule="auto"/>
              <w:ind w:left="-1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Reģ.Nr.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40900025340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Jaunatnes iela 2, Birzgale, Birzgales pagasts, Ogres novads, LV-5033</w:t>
            </w:r>
          </w:p>
          <w:p w14:paraId="0FDA0DFA" w14:textId="77777777" w:rsidR="0044136F" w:rsidRDefault="0044136F">
            <w:pPr>
              <w:spacing w:line="240" w:lineRule="auto"/>
              <w:ind w:hanging="2"/>
              <w:jc w:val="center"/>
              <w:rPr>
                <w:rFonts w:ascii="RimHelvetica" w:hAnsi="RimHelvetica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Tālrunis: 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65034187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e-pasts: 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birzgalesmuzikassk@inbox.lv</w:t>
            </w:r>
          </w:p>
        </w:tc>
      </w:tr>
    </w:tbl>
    <w:p w14:paraId="04AC813F" w14:textId="483B4B9C" w:rsidR="0044136F" w:rsidRDefault="0044136F" w:rsidP="0044136F">
      <w:pPr>
        <w:pStyle w:val="Virsraksts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B3F2E10" w14:textId="62B9836D" w:rsidR="00124B5F" w:rsidRDefault="00D74A6F" w:rsidP="00124B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D74A6F">
        <w:rPr>
          <w:rFonts w:ascii="Times New Roman" w:hAnsi="Times New Roman" w:cs="Times New Roman"/>
          <w:b/>
          <w:sz w:val="24"/>
          <w:szCs w:val="24"/>
        </w:rPr>
        <w:t>APSTIPRINU</w:t>
      </w:r>
    </w:p>
    <w:p w14:paraId="01F3CA69" w14:textId="7FF84360" w:rsidR="00D74A6F" w:rsidRDefault="00D74A6F" w:rsidP="00124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Birzgales Mūzikas skolas</w:t>
      </w:r>
    </w:p>
    <w:p w14:paraId="33738DFA" w14:textId="7E4A4631" w:rsidR="00D74A6F" w:rsidRDefault="00D74A6F" w:rsidP="00124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Direktors…… /</w:t>
      </w:r>
      <w:proofErr w:type="spellStart"/>
      <w:r>
        <w:rPr>
          <w:rFonts w:ascii="Times New Roman" w:hAnsi="Times New Roman" w:cs="Times New Roman"/>
          <w:sz w:val="24"/>
          <w:szCs w:val="24"/>
        </w:rPr>
        <w:t>L.Paukšte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14:paraId="0273B779" w14:textId="468BF04C" w:rsidR="00D74A6F" w:rsidRDefault="00D74A6F" w:rsidP="00124B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IEKŠĒJIE NOTEIKUMI</w:t>
      </w:r>
    </w:p>
    <w:p w14:paraId="018E8069" w14:textId="3B25DB94" w:rsidR="00F63C26" w:rsidRPr="00AA7230" w:rsidRDefault="00AA7230" w:rsidP="00124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Birzgal</w:t>
      </w:r>
      <w:r w:rsidR="009F52FA">
        <w:rPr>
          <w:rFonts w:ascii="Times New Roman" w:hAnsi="Times New Roman" w:cs="Times New Roman"/>
          <w:sz w:val="24"/>
          <w:szCs w:val="24"/>
        </w:rPr>
        <w:t>es pagastā</w:t>
      </w:r>
    </w:p>
    <w:p w14:paraId="61D6EBDF" w14:textId="01143B40" w:rsidR="00124B5F" w:rsidRDefault="00D74A6F" w:rsidP="00124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92D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.gada 1</w:t>
      </w:r>
      <w:r w:rsidR="009F52F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52FA">
        <w:rPr>
          <w:rFonts w:ascii="Times New Roman" w:hAnsi="Times New Roman" w:cs="Times New Roman"/>
          <w:sz w:val="24"/>
          <w:szCs w:val="24"/>
        </w:rPr>
        <w:t>jūlijā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F52F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Nr. 1/202</w:t>
      </w:r>
      <w:r w:rsidR="00092DC4">
        <w:rPr>
          <w:rFonts w:ascii="Times New Roman" w:hAnsi="Times New Roman" w:cs="Times New Roman"/>
          <w:sz w:val="24"/>
          <w:szCs w:val="24"/>
        </w:rPr>
        <w:t>4</w:t>
      </w:r>
    </w:p>
    <w:p w14:paraId="0D23BA38" w14:textId="77777777" w:rsidR="00124B5F" w:rsidRPr="00D74A6F" w:rsidRDefault="00124B5F" w:rsidP="00124B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IEKŠĒJĀS KĀRTĪBAS NOTEIKUMI</w:t>
      </w:r>
    </w:p>
    <w:p w14:paraId="4CA9BCC3" w14:textId="77777777" w:rsidR="00124B5F" w:rsidRPr="00AA7230" w:rsidRDefault="00124B5F" w:rsidP="00124B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0616D3" w14:textId="11537D0C" w:rsidR="00FB047B" w:rsidRPr="009F52FA" w:rsidRDefault="00FB047B" w:rsidP="00124B5F">
      <w:pPr>
        <w:spacing w:after="0" w:line="240" w:lineRule="auto"/>
        <w:ind w:left="326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                                </w:t>
      </w:r>
      <w:r w:rsidR="00124B5F" w:rsidRPr="009F52FA">
        <w:rPr>
          <w:rFonts w:ascii="Times New Roman" w:hAnsi="Times New Roman" w:cs="Times New Roman"/>
          <w:i/>
          <w:sz w:val="20"/>
          <w:szCs w:val="20"/>
        </w:rPr>
        <w:t xml:space="preserve">Izdoti saskaņā ar </w:t>
      </w:r>
      <w:r w:rsidR="00AA7230" w:rsidRPr="009F52FA">
        <w:rPr>
          <w:rFonts w:ascii="Times New Roman" w:hAnsi="Times New Roman" w:cs="Times New Roman"/>
          <w:i/>
          <w:sz w:val="20"/>
          <w:szCs w:val="20"/>
        </w:rPr>
        <w:t>Valsts pārvaldes</w:t>
      </w:r>
      <w:r w:rsidRPr="009F52FA">
        <w:rPr>
          <w:rFonts w:ascii="Times New Roman" w:hAnsi="Times New Roman" w:cs="Times New Roman"/>
          <w:i/>
          <w:sz w:val="20"/>
          <w:szCs w:val="20"/>
        </w:rPr>
        <w:t xml:space="preserve"> iekārtas likuma </w:t>
      </w:r>
    </w:p>
    <w:p w14:paraId="4AE60EEC" w14:textId="4AF0E085" w:rsidR="00FB047B" w:rsidRPr="009F52FA" w:rsidRDefault="00FB047B" w:rsidP="00FB047B">
      <w:pPr>
        <w:spacing w:after="0" w:line="240" w:lineRule="auto"/>
        <w:ind w:left="326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F52FA">
        <w:rPr>
          <w:rFonts w:ascii="Times New Roman" w:hAnsi="Times New Roman" w:cs="Times New Roman"/>
          <w:i/>
          <w:sz w:val="20"/>
          <w:szCs w:val="20"/>
        </w:rPr>
        <w:t>72.panta pirmās daļas 2.punktu,</w:t>
      </w:r>
    </w:p>
    <w:p w14:paraId="15E219C6" w14:textId="1A100A83" w:rsidR="00FB047B" w:rsidRPr="009F52FA" w:rsidRDefault="00FB047B" w:rsidP="00FB047B">
      <w:pPr>
        <w:spacing w:after="0" w:line="240" w:lineRule="auto"/>
        <w:ind w:left="326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F52FA">
        <w:rPr>
          <w:rFonts w:ascii="Times New Roman" w:hAnsi="Times New Roman" w:cs="Times New Roman"/>
          <w:i/>
          <w:sz w:val="20"/>
          <w:szCs w:val="20"/>
        </w:rPr>
        <w:t>Izglītības likuma 54. un 55.pantu, Ministru kabineta</w:t>
      </w:r>
    </w:p>
    <w:p w14:paraId="74700107" w14:textId="57EE288E" w:rsidR="00FB047B" w:rsidRPr="009F52FA" w:rsidRDefault="00FB047B" w:rsidP="00FB047B">
      <w:pPr>
        <w:spacing w:after="0" w:line="240" w:lineRule="auto"/>
        <w:ind w:left="326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F52FA">
        <w:rPr>
          <w:rFonts w:ascii="Times New Roman" w:hAnsi="Times New Roman" w:cs="Times New Roman"/>
          <w:i/>
          <w:sz w:val="20"/>
          <w:szCs w:val="20"/>
        </w:rPr>
        <w:t>2023.gada 22.augusta noteikumu Nr.474 ,,Kārtība,</w:t>
      </w:r>
    </w:p>
    <w:p w14:paraId="6696B137" w14:textId="5371C5E2" w:rsidR="00FB047B" w:rsidRPr="009F52FA" w:rsidRDefault="00B57F39" w:rsidP="00FB047B">
      <w:pPr>
        <w:spacing w:after="0" w:line="240" w:lineRule="auto"/>
        <w:ind w:left="326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F52FA">
        <w:rPr>
          <w:rFonts w:ascii="Times New Roman" w:hAnsi="Times New Roman" w:cs="Times New Roman"/>
          <w:i/>
          <w:sz w:val="20"/>
          <w:szCs w:val="20"/>
        </w:rPr>
        <w:t>k</w:t>
      </w:r>
      <w:r w:rsidR="00FB047B" w:rsidRPr="009F52FA">
        <w:rPr>
          <w:rFonts w:ascii="Times New Roman" w:hAnsi="Times New Roman" w:cs="Times New Roman"/>
          <w:i/>
          <w:sz w:val="20"/>
          <w:szCs w:val="20"/>
        </w:rPr>
        <w:t>ādā nodrošināma</w:t>
      </w:r>
      <w:r w:rsidRPr="009F52FA">
        <w:rPr>
          <w:rFonts w:ascii="Times New Roman" w:hAnsi="Times New Roman" w:cs="Times New Roman"/>
          <w:i/>
          <w:sz w:val="20"/>
          <w:szCs w:val="20"/>
        </w:rPr>
        <w:t xml:space="preserve"> izglītojamo profilaktiskā veselības</w:t>
      </w:r>
    </w:p>
    <w:p w14:paraId="4EC15A06" w14:textId="58C5DDDA" w:rsidR="00B57F39" w:rsidRPr="009F52FA" w:rsidRDefault="00B57F39" w:rsidP="00FB047B">
      <w:pPr>
        <w:spacing w:after="0" w:line="240" w:lineRule="auto"/>
        <w:ind w:left="326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F52FA">
        <w:rPr>
          <w:rFonts w:ascii="Times New Roman" w:hAnsi="Times New Roman" w:cs="Times New Roman"/>
          <w:i/>
          <w:sz w:val="20"/>
          <w:szCs w:val="20"/>
        </w:rPr>
        <w:t>aprūpe, pirmā palīdzība un drošība izglītības iestādēs</w:t>
      </w:r>
    </w:p>
    <w:p w14:paraId="39DCE1F7" w14:textId="3CE1E148" w:rsidR="00B57F39" w:rsidRPr="009F52FA" w:rsidRDefault="00B57F39" w:rsidP="00FB047B">
      <w:pPr>
        <w:spacing w:after="0" w:line="240" w:lineRule="auto"/>
        <w:ind w:left="326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F52FA">
        <w:rPr>
          <w:rFonts w:ascii="Times New Roman" w:hAnsi="Times New Roman" w:cs="Times New Roman"/>
          <w:i/>
          <w:sz w:val="20"/>
          <w:szCs w:val="20"/>
        </w:rPr>
        <w:t xml:space="preserve"> un to organizētajos pasākumos”,</w:t>
      </w:r>
    </w:p>
    <w:p w14:paraId="408C62DE" w14:textId="3F701F29" w:rsidR="00815D91" w:rsidRPr="009F52FA" w:rsidRDefault="00815D91" w:rsidP="00FB047B">
      <w:pPr>
        <w:spacing w:after="0" w:line="240" w:lineRule="auto"/>
        <w:ind w:left="326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F52FA">
        <w:rPr>
          <w:rFonts w:ascii="Times New Roman" w:hAnsi="Times New Roman" w:cs="Times New Roman"/>
          <w:i/>
          <w:sz w:val="20"/>
          <w:szCs w:val="20"/>
        </w:rPr>
        <w:t>Birzgales Mūzikas skolas nolikuma</w:t>
      </w:r>
      <w:r w:rsidR="00412D2C" w:rsidRPr="009F52FA">
        <w:rPr>
          <w:rFonts w:ascii="Times New Roman" w:hAnsi="Times New Roman" w:cs="Times New Roman"/>
          <w:i/>
          <w:sz w:val="20"/>
          <w:szCs w:val="20"/>
        </w:rPr>
        <w:t xml:space="preserve"> 37.</w:t>
      </w:r>
      <w:r w:rsidR="00B57B95" w:rsidRPr="009F52FA">
        <w:rPr>
          <w:rFonts w:ascii="Times New Roman" w:hAnsi="Times New Roman" w:cs="Times New Roman"/>
          <w:i/>
          <w:sz w:val="20"/>
          <w:szCs w:val="20"/>
        </w:rPr>
        <w:t>punktu.</w:t>
      </w:r>
    </w:p>
    <w:p w14:paraId="48181627" w14:textId="77777777" w:rsidR="00124B5F" w:rsidRDefault="00124B5F" w:rsidP="00124B5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16AD29" w14:textId="36AFC2A0" w:rsidR="00124B5F" w:rsidRDefault="00124B5F" w:rsidP="00124B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D3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Vispārīgie jautājumi</w:t>
      </w:r>
    </w:p>
    <w:p w14:paraId="03FDEA52" w14:textId="77777777" w:rsidR="00124B5F" w:rsidRDefault="00124B5F" w:rsidP="00124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12F8E5" w14:textId="16734168" w:rsidR="00124B5F" w:rsidRDefault="00124B5F" w:rsidP="00124B5F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Birzgales Mūzikas skolas (turpmāk – Skola) </w:t>
      </w:r>
      <w:r w:rsidR="004F26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ekšējie</w:t>
      </w:r>
      <w:r w:rsidR="004F2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kārtības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noteikumi</w:t>
      </w:r>
      <w:r w:rsidR="004F2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(turpmāk – Noteikumi) nosaka </w:t>
      </w:r>
      <w:r w:rsidR="004F2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izglītības procesa organizāciju, izglītojamo tiesības, </w:t>
      </w:r>
      <w:r w:rsidR="004F26BD" w:rsidRPr="004F26BD">
        <w:rPr>
          <w:rFonts w:ascii="Times New Roman" w:hAnsi="Times New Roman" w:cs="Times New Roman"/>
          <w:color w:val="000000" w:themeColor="text1"/>
          <w:sz w:val="24"/>
          <w:szCs w:val="24"/>
        </w:rPr>
        <w:t>pienākumus</w:t>
      </w:r>
      <w:r w:rsidR="004F2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atbildību, izglītojamo pamudinājumu un disciplinārsodu piemērošanu, kārtību, kādā izglītojamie tiek iepazīstināti ar Noteikumiem, izglītojamo </w:t>
      </w:r>
      <w:r w:rsidR="00CE3AC5">
        <w:rPr>
          <w:rFonts w:ascii="Times New Roman" w:hAnsi="Times New Roman" w:cs="Times New Roman"/>
          <w:color w:val="000000" w:themeColor="text1"/>
          <w:sz w:val="24"/>
          <w:szCs w:val="24"/>
        </w:rPr>
        <w:t>uzvedības noteikumiem Skolā, tās teritorijā un organizētajos pasākumos, kā arī citus jautājumus, kas saistīti ar izglītojamo uzturēšanos un darbību Skolā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24BCA8" w14:textId="77777777" w:rsidR="00CE3AC5" w:rsidRDefault="00CE3AC5" w:rsidP="00124B5F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Noteikumi nodrošina izglītojamo drošību.</w:t>
      </w:r>
    </w:p>
    <w:p w14:paraId="55E3505E" w14:textId="740A030D" w:rsidR="00124B5F" w:rsidRDefault="00CE3AC5" w:rsidP="00124B5F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Noteikumu ievērošana visiem izglītojamajiem ir obligāta. </w:t>
      </w:r>
    </w:p>
    <w:p w14:paraId="0C8F0490" w14:textId="77777777" w:rsidR="00124B5F" w:rsidRDefault="00124B5F" w:rsidP="00124B5F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AEB6B1" w14:textId="0FCA3C82" w:rsidR="00124B5F" w:rsidRDefault="00124B5F" w:rsidP="00124B5F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="00DD3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</w:t>
      </w:r>
      <w:r w:rsidR="00FD3E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zglītības procesa organizācija</w:t>
      </w:r>
    </w:p>
    <w:p w14:paraId="454030CA" w14:textId="0A406474" w:rsidR="00B55027" w:rsidRDefault="00B55027" w:rsidP="00B5502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Skolas vadība organizē darbu atbilstoši spēkā esošajiem likumdošanas aktiem, kā arī šiem Noteikumiem un Skolas iekšējiem normatīvajiem aktiem. </w:t>
      </w:r>
    </w:p>
    <w:p w14:paraId="64F83E5B" w14:textId="594E435C" w:rsidR="00124B5F" w:rsidRDefault="00F31D72" w:rsidP="00124B5F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Mācības skolā notiek no pl.9.30 līdz 20.30</w:t>
      </w:r>
    </w:p>
    <w:p w14:paraId="227D1316" w14:textId="7F69EA1E" w:rsidR="00124B5F" w:rsidRDefault="00F31D72" w:rsidP="00124B5F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Mācības notiek pēc nodarbību saraksta, atbilstoši Skolas izstrādātām un apstiprinātām mācību priekšmetu programmām.</w:t>
      </w:r>
    </w:p>
    <w:p w14:paraId="6822F9D7" w14:textId="782D8793" w:rsidR="00124B5F" w:rsidRDefault="00960479" w:rsidP="00124B5F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Nodarbību garums ir 40 minūtes.</w:t>
      </w:r>
    </w:p>
    <w:p w14:paraId="05B6F922" w14:textId="5C0D0D77" w:rsidR="00960479" w:rsidRDefault="00C13115" w:rsidP="00124B5F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Mācību gada sākumu, beigas un brīvlaikus nosaka saskaņā ar Ministru kabineta noteikumiem.</w:t>
      </w:r>
    </w:p>
    <w:p w14:paraId="7BCA8450" w14:textId="09C4291E" w:rsidR="00C13115" w:rsidRDefault="00C13115" w:rsidP="00124B5F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Izglītojamā mācību sasniegumus vērtē 10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ballu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sistēmā saskaņā ar Skolas reglamentu par izglītojamo zināšanu</w:t>
      </w:r>
      <w:r w:rsidR="00C231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vērtēšanu, pārcelšanu nākamajā klasē un atskaitīšanu.</w:t>
      </w:r>
    </w:p>
    <w:p w14:paraId="456A21A4" w14:textId="3D3957F9" w:rsidR="00C231DB" w:rsidRDefault="00C231DB" w:rsidP="00124B5F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 kavējumiem slimības vai citu attaisnojošu iemeslu dēļ izglītojamie informē pedagogu.</w:t>
      </w:r>
    </w:p>
    <w:p w14:paraId="5BF0B7BC" w14:textId="252BE579" w:rsidR="00C231DB" w:rsidRDefault="00C231DB" w:rsidP="00124B5F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Izglītojamajiem ir dienasgrāmatas, kurās tiek ierakstītas atzīmes un veicamie darbi.</w:t>
      </w:r>
    </w:p>
    <w:p w14:paraId="200F1545" w14:textId="5CD234B5" w:rsidR="00C231DB" w:rsidRDefault="00C231DB" w:rsidP="00124B5F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Semestra beigās izglītojamajiem izsniedz liecības.</w:t>
      </w:r>
    </w:p>
    <w:p w14:paraId="20D7A5E4" w14:textId="77777777" w:rsidR="00124B5F" w:rsidRDefault="00124B5F" w:rsidP="00124B5F">
      <w:pPr>
        <w:pStyle w:val="Sarakstarindkopa"/>
        <w:spacing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C03EE2E" w14:textId="5C800C89" w:rsidR="00124B5F" w:rsidRDefault="00124B5F" w:rsidP="00124B5F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III</w:t>
      </w:r>
      <w:r w:rsidR="00DD3DA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4A5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Izglītojamā pienākumi</w:t>
      </w:r>
    </w:p>
    <w:p w14:paraId="1564569D" w14:textId="42AE5F23" w:rsidR="00124B5F" w:rsidRDefault="00874A58" w:rsidP="00874A58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Atbilstoši savām spējām apgūt mūzikas izglītības programmas.</w:t>
      </w:r>
    </w:p>
    <w:p w14:paraId="36849436" w14:textId="5E6A5D90" w:rsidR="00874A58" w:rsidRDefault="00874A58" w:rsidP="00874A58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Pārstāvēt Skolu dažādos pasākumos, konkursos, skatēs</w:t>
      </w:r>
      <w:r w:rsidR="00EE0D1F">
        <w:rPr>
          <w:rFonts w:ascii="Times New Roman" w:hAnsi="Times New Roman" w:cs="Times New Roman"/>
          <w:color w:val="000000" w:themeColor="text1"/>
          <w:sz w:val="24"/>
          <w:szCs w:val="24"/>
        </w:rPr>
        <w:t>, koncertos u.c.</w:t>
      </w:r>
    </w:p>
    <w:p w14:paraId="31943CEC" w14:textId="65BFEC80" w:rsidR="00EE0D1F" w:rsidRDefault="00EE0D1F" w:rsidP="00874A58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Mācībām paredzēto laiku izmantot lietderīgi, ievērot disciplīnu un netraucēt citiem.</w:t>
      </w:r>
    </w:p>
    <w:p w14:paraId="0EE0CA90" w14:textId="26CDFE9D" w:rsidR="00EE0D1F" w:rsidRDefault="00EE0D1F" w:rsidP="00874A58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Savlaicīgi ierasties uz nodarbībām.</w:t>
      </w:r>
    </w:p>
    <w:p w14:paraId="47AD9351" w14:textId="4FC5953C" w:rsidR="00EE0D1F" w:rsidRDefault="00EE0D1F" w:rsidP="00874A58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Starpbrīžos uzvesties disciplinēti, nesēdēt  uz palodzēm, galdiem un netrokšņot.</w:t>
      </w:r>
    </w:p>
    <w:p w14:paraId="69FAED78" w14:textId="3BE87FE2" w:rsidR="00EE0D1F" w:rsidRDefault="00EE0D1F" w:rsidP="00874A58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Uz mācību koncertu, ieskaiti un citu pasākumu</w:t>
      </w:r>
      <w:r w:rsidR="00427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ierasties piemērotā apģērbā.</w:t>
      </w:r>
    </w:p>
    <w:p w14:paraId="617EDDA3" w14:textId="7F0EC9AC" w:rsidR="0042703D" w:rsidRDefault="0042703D" w:rsidP="00874A58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Skolas telpās un ārpus tām ievērot pieklājību pret visiem.</w:t>
      </w:r>
    </w:p>
    <w:p w14:paraId="755BD74C" w14:textId="333B659C" w:rsidR="0042703D" w:rsidRDefault="0042703D" w:rsidP="00874A58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Saudzīgi izturēties pret Skolas inventāru (mūzikas instrumentiem, mēbelēm, notīm) to bojāšanas gadījumā Skolai nodarītos zaudējumus sedz pilnā apmērā vainīgais vai viņa vecāki.</w:t>
      </w:r>
    </w:p>
    <w:p w14:paraId="08B5E12D" w14:textId="33663B88" w:rsidR="0042703D" w:rsidRDefault="0042703D" w:rsidP="00874A58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Cienīt skolotāju un tehniskā personāla darbu un ievērot viņu prasības.</w:t>
      </w:r>
    </w:p>
    <w:p w14:paraId="74069E07" w14:textId="19BBA905" w:rsidR="0042703D" w:rsidRDefault="0042703D" w:rsidP="00874A58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Stundu laikā izslēgt</w:t>
      </w:r>
      <w:r w:rsidR="00972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mobilo telefonu.</w:t>
      </w:r>
    </w:p>
    <w:p w14:paraId="4F4FE794" w14:textId="14F55FB7" w:rsidR="007051FA" w:rsidRDefault="007051FA" w:rsidP="00874A58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Neapdraudēt savu un citu drošību un veselību, neienest Skolā dzīvībai bīstamus priekšmetus.</w:t>
      </w:r>
    </w:p>
    <w:p w14:paraId="2465AEA6" w14:textId="054441AE" w:rsidR="007051FA" w:rsidRDefault="007051FA" w:rsidP="00874A58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Ievērot tīrību Skolā</w:t>
      </w:r>
      <w:r w:rsidR="004B1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Skolas teritorijā.</w:t>
      </w:r>
    </w:p>
    <w:p w14:paraId="2698723A" w14:textId="12A0207B" w:rsidR="004B156A" w:rsidRDefault="004B156A" w:rsidP="00874A58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 nepiederošu personu klātbūtni nekavējoties ziņot direktoram vai pedagogiem.</w:t>
      </w:r>
    </w:p>
    <w:p w14:paraId="455B743D" w14:textId="376DBE49" w:rsidR="00124B5F" w:rsidRDefault="00124B5F" w:rsidP="00124B5F">
      <w:pPr>
        <w:tabs>
          <w:tab w:val="left" w:pos="851"/>
        </w:tabs>
        <w:spacing w:after="120" w:line="240" w:lineRule="auto"/>
        <w:ind w:left="27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</w:t>
      </w:r>
      <w:r w:rsidR="00DD3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15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Izglītojamo tiesības</w:t>
      </w:r>
    </w:p>
    <w:p w14:paraId="5B410DC8" w14:textId="77777777" w:rsidR="00715D53" w:rsidRDefault="00715D53" w:rsidP="00124B5F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Izglītības procesā brīvi izteikt un aizstāvēt savas domas un uzskatus.</w:t>
      </w:r>
    </w:p>
    <w:p w14:paraId="006E712E" w14:textId="77777777" w:rsidR="00715D53" w:rsidRDefault="00715D53" w:rsidP="00124B5F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Tikt nodrošinātam ar personas brīvību, goda un cieņas neaizskaramību.</w:t>
      </w:r>
    </w:p>
    <w:p w14:paraId="44273DC8" w14:textId="307A06F6" w:rsidR="00715D53" w:rsidRDefault="00715D53" w:rsidP="00124B5F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Izglītības procesā izmantot Skolas telpas un mācību līdzekļus.</w:t>
      </w:r>
    </w:p>
    <w:p w14:paraId="5469D505" w14:textId="2921F626" w:rsidR="00715D53" w:rsidRDefault="00715D53" w:rsidP="00124B5F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Piedalīties sabiedriskajā darbībā, pasākumu organizēšanā.</w:t>
      </w:r>
    </w:p>
    <w:p w14:paraId="16ECC981" w14:textId="25FD30CD" w:rsidR="00DD3DA5" w:rsidRDefault="00DD3DA5" w:rsidP="00124B5F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Saņemt pedagogu palīdzību mācību apguvē.</w:t>
      </w:r>
    </w:p>
    <w:p w14:paraId="7D45F4AC" w14:textId="4ED524A4" w:rsidR="00DD3DA5" w:rsidRDefault="00DD3DA5" w:rsidP="00124B5F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Domstarpību gadījumā lūgt palīdzību skolotājiem.</w:t>
      </w:r>
    </w:p>
    <w:p w14:paraId="1AE54038" w14:textId="2D15A659" w:rsidR="00124B5F" w:rsidRDefault="00124B5F" w:rsidP="00DD3DA5">
      <w:pPr>
        <w:pStyle w:val="Sarakstarindkopa"/>
        <w:spacing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D6C33" w14:textId="77777777" w:rsidR="00124B5F" w:rsidRDefault="00124B5F" w:rsidP="00124B5F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8CC1C9" w14:textId="4E9D4378" w:rsidR="00124B5F" w:rsidRDefault="00124B5F" w:rsidP="00124B5F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DD3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3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Vecāku pienākumi un tiesības</w:t>
      </w:r>
    </w:p>
    <w:p w14:paraId="446488BE" w14:textId="77777777" w:rsidR="00DD3DA5" w:rsidRPr="00DD3DA5" w:rsidRDefault="00DD3DA5" w:rsidP="00124B5F">
      <w:pPr>
        <w:pStyle w:val="Sarakstarindkop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 sava bērna neierašanos uz nodarbībām savlaicīgi ziņot skolotājiem</w:t>
      </w:r>
    </w:p>
    <w:p w14:paraId="034179C4" w14:textId="02322F36" w:rsidR="00DD3DA5" w:rsidRPr="00DD3DA5" w:rsidRDefault="00DD3DA5" w:rsidP="00124B5F">
      <w:pPr>
        <w:pStyle w:val="Sarakstarindkop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Regulāri izmantot dienasgrāmatu, lai iepazītos ar bērnam uzdoto un atzīmēm.</w:t>
      </w:r>
    </w:p>
    <w:p w14:paraId="5A49CB36" w14:textId="439BE4BE" w:rsidR="00DD3DA5" w:rsidRDefault="00DD3DA5" w:rsidP="00124B5F">
      <w:pPr>
        <w:pStyle w:val="Sarakstarindkop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Regulāri saņemt no Skolas informāciju</w:t>
      </w:r>
      <w:r w:rsidR="00A21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bērna sekmēm un nodarbību apmeklējumu.</w:t>
      </w:r>
    </w:p>
    <w:p w14:paraId="4EA33553" w14:textId="1BF362DA" w:rsidR="00A219FA" w:rsidRPr="00DD3DA5" w:rsidRDefault="00A219FA" w:rsidP="00124B5F">
      <w:pPr>
        <w:pStyle w:val="Sarakstarindkop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Skolas uzturēšanas līdzfinansējuma iemaksas nokārtojamas līdz katra mēneša 15. datumam.</w:t>
      </w:r>
    </w:p>
    <w:p w14:paraId="7A8A5005" w14:textId="2D88EF43" w:rsidR="00124B5F" w:rsidRDefault="00124B5F" w:rsidP="00124B5F">
      <w:pPr>
        <w:pStyle w:val="Sarakstarindkop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4FAEB5" w14:textId="77777777" w:rsidR="003531CA" w:rsidRDefault="003531CA" w:rsidP="00124B5F">
      <w:pPr>
        <w:pStyle w:val="Sarakstarindkop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2CC6CE" w14:textId="3C866EDB" w:rsidR="00124B5F" w:rsidRDefault="00124B5F" w:rsidP="00124B5F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VI</w:t>
      </w:r>
      <w:r w:rsidR="00D859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Kārtība, kādā izglītojamie tiek iepazīstināti ar noteikumiem un drošības instrukcijām</w:t>
      </w:r>
    </w:p>
    <w:p w14:paraId="0C57AD2A" w14:textId="77777777" w:rsidR="00D8592D" w:rsidRDefault="00D8592D" w:rsidP="00124B5F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6FC3CB" w14:textId="1917644F" w:rsidR="00124B5F" w:rsidRDefault="00D8592D" w:rsidP="00124B5F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 iepazīstina izglītojamos ar Noteikumiem ne vēlāk kā triju nedēļu laikā pēc katra mācību gada sākuma.</w:t>
      </w:r>
    </w:p>
    <w:p w14:paraId="316FF315" w14:textId="11D54E89" w:rsidR="00D8592D" w:rsidRDefault="00D8592D" w:rsidP="00124B5F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Pirms došanās Skolas organizētajās mācību ekskursijās un izbraukumos pedagogi iepazīstina izglītojamos ar attiecīgajiem drošības noteikumiem.</w:t>
      </w:r>
    </w:p>
    <w:p w14:paraId="3F328602" w14:textId="0231AA3A" w:rsidR="00D8592D" w:rsidRDefault="00D8592D" w:rsidP="00124B5F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Izglītojamo iepazīstināšana ar citiem drošības noteikumiem nosaka Ministru kabineta noteikumi.</w:t>
      </w:r>
    </w:p>
    <w:p w14:paraId="465C1922" w14:textId="77777777" w:rsidR="00C54CC9" w:rsidRPr="00C54CC9" w:rsidRDefault="00C54CC9" w:rsidP="00C54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7202E" w14:textId="77777777" w:rsidR="00124B5F" w:rsidRDefault="00124B5F" w:rsidP="00124B5F">
      <w:pPr>
        <w:pStyle w:val="Sarakstarindkopa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5A71F5" w14:textId="00551CF6" w:rsidR="00124B5F" w:rsidRDefault="00124B5F" w:rsidP="00124B5F">
      <w:pPr>
        <w:pStyle w:val="Sarakstarindkopa"/>
        <w:tabs>
          <w:tab w:val="left" w:pos="273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D8592D">
        <w:rPr>
          <w:rFonts w:ascii="Times New Roman" w:hAnsi="Times New Roman" w:cs="Times New Roman"/>
          <w:b/>
          <w:sz w:val="24"/>
          <w:szCs w:val="24"/>
        </w:rPr>
        <w:t>.</w:t>
      </w:r>
      <w:r w:rsidR="003531CA">
        <w:rPr>
          <w:rFonts w:ascii="Times New Roman" w:hAnsi="Times New Roman" w:cs="Times New Roman"/>
          <w:b/>
          <w:sz w:val="24"/>
          <w:szCs w:val="24"/>
        </w:rPr>
        <w:t xml:space="preserve"> Grozījumi iekšējās kārtības noteikumos</w:t>
      </w:r>
    </w:p>
    <w:p w14:paraId="5C44CA54" w14:textId="77777777" w:rsidR="003531CA" w:rsidRDefault="003531CA" w:rsidP="00124B5F">
      <w:pPr>
        <w:pStyle w:val="Sarakstarindkopa"/>
        <w:tabs>
          <w:tab w:val="left" w:pos="273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29767" w14:textId="788C8060" w:rsidR="00124B5F" w:rsidRDefault="00124B5F" w:rsidP="00124B5F">
      <w:pPr>
        <w:pStyle w:val="Sarakstarindkopa"/>
        <w:tabs>
          <w:tab w:val="left" w:pos="273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7E1C9BD" w14:textId="6855247E" w:rsidR="003531CA" w:rsidRDefault="00C54CC9" w:rsidP="00124B5F">
      <w:pPr>
        <w:pStyle w:val="Sarakstarindkopa"/>
        <w:tabs>
          <w:tab w:val="left" w:pos="273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Grozījumus Noteikumos var ierosināt pedagoģiskā padome.</w:t>
      </w:r>
    </w:p>
    <w:p w14:paraId="2565DE73" w14:textId="216B1D1A" w:rsidR="00C54CC9" w:rsidRDefault="00C54CC9" w:rsidP="00124B5F">
      <w:pPr>
        <w:pStyle w:val="Sarakstarindkopa"/>
        <w:tabs>
          <w:tab w:val="left" w:pos="273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Grozījumus Noteikumos  apstiprina Skolas direktors.</w:t>
      </w:r>
    </w:p>
    <w:p w14:paraId="254820E0" w14:textId="5B21EE37" w:rsidR="00C54CC9" w:rsidRDefault="00C54CC9" w:rsidP="00124B5F">
      <w:pPr>
        <w:pStyle w:val="Sarakstarindkopa"/>
        <w:tabs>
          <w:tab w:val="left" w:pos="273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FBCA0B4" w14:textId="1BAA447B" w:rsidR="00C54CC9" w:rsidRPr="00C54CC9" w:rsidRDefault="00C54CC9" w:rsidP="00124B5F">
      <w:pPr>
        <w:pStyle w:val="Sarakstarindkopa"/>
        <w:tabs>
          <w:tab w:val="left" w:pos="273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Iekšējie kārtības noteikumi aktualizēti 2024.gada 1</w:t>
      </w:r>
      <w:r w:rsidR="009F52F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2FA">
        <w:rPr>
          <w:rFonts w:ascii="Times New Roman" w:hAnsi="Times New Roman" w:cs="Times New Roman"/>
          <w:sz w:val="24"/>
          <w:szCs w:val="24"/>
        </w:rPr>
        <w:t>jūlijā</w:t>
      </w:r>
    </w:p>
    <w:p w14:paraId="54E3650F" w14:textId="77777777" w:rsidR="00124B5F" w:rsidRDefault="00124B5F" w:rsidP="00124B5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A8C7BE" w14:textId="77777777" w:rsidR="00124B5F" w:rsidRDefault="00124B5F" w:rsidP="00124B5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038EF4" w14:textId="00349241" w:rsidR="00124B5F" w:rsidRDefault="00C54CC9" w:rsidP="00124B5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Birzgales Mūzikas skolas direktors</w:t>
      </w:r>
      <w:r w:rsidR="00124B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4B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4B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4B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Laimonis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Paukšte</w:t>
      </w:r>
      <w:proofErr w:type="spellEnd"/>
    </w:p>
    <w:p w14:paraId="738FF2B1" w14:textId="77777777" w:rsidR="00124B5F" w:rsidRDefault="00124B5F" w:rsidP="00124B5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5E5826" w14:textId="77777777" w:rsidR="00124B5F" w:rsidRDefault="00124B5F" w:rsidP="00124B5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8A0B7" w14:textId="77777777" w:rsidR="00124B5F" w:rsidRDefault="00124B5F" w:rsidP="00124B5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2EA7082" w14:textId="77777777" w:rsidR="00124B5F" w:rsidRDefault="00124B5F" w:rsidP="00124B5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6EB17DF" w14:textId="77777777" w:rsidR="00124B5F" w:rsidRDefault="00124B5F" w:rsidP="00124B5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FAE64" w14:textId="77777777" w:rsidR="00124B5F" w:rsidRDefault="00124B5F" w:rsidP="00124B5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D1E6C7" w14:textId="77777777" w:rsidR="00124B5F" w:rsidRDefault="00124B5F" w:rsidP="00124B5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68A65A" w14:textId="77777777" w:rsidR="00CD4809" w:rsidRDefault="00CD4809"/>
    <w:sectPr w:rsidR="00CD4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RimHelvetic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3546B"/>
    <w:multiLevelType w:val="multilevel"/>
    <w:tmpl w:val="B5225BBC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2350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7A7A02"/>
    <w:multiLevelType w:val="multilevel"/>
    <w:tmpl w:val="272296E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2350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CB75101"/>
    <w:multiLevelType w:val="hybridMultilevel"/>
    <w:tmpl w:val="C3761E0A"/>
    <w:lvl w:ilvl="0" w:tplc="F5E05C5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2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993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026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89"/>
    <w:rsid w:val="00092DC4"/>
    <w:rsid w:val="00124B5F"/>
    <w:rsid w:val="003531CA"/>
    <w:rsid w:val="00412D2C"/>
    <w:rsid w:val="0042703D"/>
    <w:rsid w:val="0044136F"/>
    <w:rsid w:val="004B156A"/>
    <w:rsid w:val="004F26BD"/>
    <w:rsid w:val="007051FA"/>
    <w:rsid w:val="00715D53"/>
    <w:rsid w:val="00815D91"/>
    <w:rsid w:val="00874A58"/>
    <w:rsid w:val="00960479"/>
    <w:rsid w:val="0097259B"/>
    <w:rsid w:val="009F52FA"/>
    <w:rsid w:val="00A219FA"/>
    <w:rsid w:val="00A56928"/>
    <w:rsid w:val="00AA7230"/>
    <w:rsid w:val="00AD6775"/>
    <w:rsid w:val="00B55027"/>
    <w:rsid w:val="00B57B95"/>
    <w:rsid w:val="00B57F39"/>
    <w:rsid w:val="00C13115"/>
    <w:rsid w:val="00C16489"/>
    <w:rsid w:val="00C231DB"/>
    <w:rsid w:val="00C54CC9"/>
    <w:rsid w:val="00CD4809"/>
    <w:rsid w:val="00CE3AC5"/>
    <w:rsid w:val="00D74A6F"/>
    <w:rsid w:val="00D8592D"/>
    <w:rsid w:val="00DD3DA5"/>
    <w:rsid w:val="00EE0D1F"/>
    <w:rsid w:val="00F31D72"/>
    <w:rsid w:val="00F63C26"/>
    <w:rsid w:val="00FB047B"/>
    <w:rsid w:val="00FD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C9C3"/>
  <w15:chartTrackingRefBased/>
  <w15:docId w15:val="{A85BA50E-4AF2-41C5-AE83-036C34A8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4B5F"/>
    <w:pPr>
      <w:spacing w:line="254" w:lineRule="auto"/>
    </w:p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4136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semiHidden/>
    <w:unhideWhenUsed/>
    <w:rsid w:val="00124B5F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124B5F"/>
    <w:pPr>
      <w:ind w:left="720"/>
      <w:contextualSpacing/>
    </w:pPr>
  </w:style>
  <w:style w:type="paragraph" w:customStyle="1" w:styleId="Parasts1">
    <w:name w:val="Parasts1"/>
    <w:rsid w:val="00124B5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4136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AB03-0A64-4088-BF9E-4D78479C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3312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Ķeguma novada pašvaldība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Laimonis</dc:creator>
  <cp:keywords/>
  <dc:description/>
  <cp:lastModifiedBy>Laimonis</cp:lastModifiedBy>
  <cp:revision>20</cp:revision>
  <dcterms:created xsi:type="dcterms:W3CDTF">2024-07-22T12:39:00Z</dcterms:created>
  <dcterms:modified xsi:type="dcterms:W3CDTF">2024-08-12T12:24:00Z</dcterms:modified>
</cp:coreProperties>
</file>