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E2754" w14:textId="0A10BFA6" w:rsidR="00EC05AC" w:rsidRPr="00EC05AC" w:rsidRDefault="00EC05AC" w:rsidP="00EC05AC">
      <w:pPr>
        <w:spacing w:after="120" w:line="240" w:lineRule="auto"/>
        <w:ind w:firstLine="720"/>
        <w:jc w:val="right"/>
        <w:rPr>
          <w:rFonts w:ascii="Times New Roman" w:eastAsia="Times New Roman" w:hAnsi="Times New Roman" w:cs="Times New Roman"/>
          <w:sz w:val="24"/>
          <w:szCs w:val="24"/>
        </w:rPr>
      </w:pPr>
      <w:r w:rsidRPr="00EC05AC">
        <w:rPr>
          <w:rFonts w:ascii="Times New Roman" w:eastAsia="Times New Roman" w:hAnsi="Times New Roman" w:cs="Times New Roman"/>
          <w:sz w:val="24"/>
          <w:szCs w:val="24"/>
        </w:rPr>
        <w:t>PROJEKTS</w:t>
      </w:r>
    </w:p>
    <w:p w14:paraId="355A4C37" w14:textId="77777777" w:rsidR="00471369" w:rsidRDefault="00496D22" w:rsidP="00496D22">
      <w:pPr>
        <w:spacing w:after="0" w:line="240" w:lineRule="auto"/>
        <w:jc w:val="center"/>
        <w:rPr>
          <w:rFonts w:ascii="Times New Roman" w:eastAsia="Times New Roman" w:hAnsi="Times New Roman" w:cs="Times New Roman"/>
          <w:b/>
          <w:sz w:val="24"/>
          <w:szCs w:val="24"/>
        </w:rPr>
      </w:pPr>
      <w:r w:rsidRPr="00471369">
        <w:rPr>
          <w:rFonts w:ascii="Times New Roman" w:eastAsia="Times New Roman" w:hAnsi="Times New Roman" w:cs="Times New Roman"/>
          <w:b/>
          <w:sz w:val="24"/>
          <w:szCs w:val="24"/>
        </w:rPr>
        <w:t xml:space="preserve">Ogres novada pašvaldības saistošo noteikumu </w:t>
      </w:r>
      <w:r w:rsidR="007C35BA" w:rsidRPr="00471369">
        <w:rPr>
          <w:rFonts w:ascii="Times New Roman" w:eastAsia="Times New Roman" w:hAnsi="Times New Roman" w:cs="Times New Roman"/>
          <w:b/>
          <w:sz w:val="24"/>
          <w:szCs w:val="24"/>
        </w:rPr>
        <w:t>Nr._</w:t>
      </w:r>
      <w:r w:rsidRPr="00471369">
        <w:rPr>
          <w:rFonts w:ascii="Times New Roman" w:eastAsia="Times New Roman" w:hAnsi="Times New Roman" w:cs="Times New Roman"/>
          <w:b/>
          <w:sz w:val="24"/>
          <w:szCs w:val="24"/>
        </w:rPr>
        <w:t xml:space="preserve">/2024 </w:t>
      </w:r>
      <w:r w:rsidR="007C35BA" w:rsidRPr="00471369">
        <w:rPr>
          <w:rFonts w:ascii="Times New Roman" w:eastAsia="Times New Roman" w:hAnsi="Times New Roman" w:cs="Times New Roman"/>
          <w:b/>
          <w:sz w:val="24"/>
          <w:szCs w:val="24"/>
        </w:rPr>
        <w:t>“Par Ogres novada pašvaldības attīstībai stratēģiski svarīgiem īpašumiem un pakalpojumiem”</w:t>
      </w:r>
      <w:r w:rsidRPr="00471369">
        <w:rPr>
          <w:rFonts w:ascii="Times New Roman" w:eastAsia="Times New Roman" w:hAnsi="Times New Roman" w:cs="Times New Roman"/>
          <w:b/>
          <w:sz w:val="24"/>
          <w:szCs w:val="24"/>
        </w:rPr>
        <w:t xml:space="preserve"> </w:t>
      </w:r>
    </w:p>
    <w:p w14:paraId="49AD2805" w14:textId="642A9D6A" w:rsidR="00496D22" w:rsidRPr="00471369" w:rsidRDefault="00496D22" w:rsidP="00496D22">
      <w:pPr>
        <w:spacing w:after="0" w:line="240" w:lineRule="auto"/>
        <w:jc w:val="center"/>
        <w:rPr>
          <w:rFonts w:ascii="Times New Roman" w:eastAsia="Times New Roman" w:hAnsi="Times New Roman" w:cs="Times New Roman"/>
          <w:b/>
          <w:sz w:val="24"/>
          <w:szCs w:val="24"/>
        </w:rPr>
      </w:pPr>
      <w:bookmarkStart w:id="0" w:name="_GoBack"/>
      <w:bookmarkEnd w:id="0"/>
      <w:r w:rsidRPr="00471369">
        <w:rPr>
          <w:rFonts w:ascii="Times New Roman" w:eastAsia="Times New Roman" w:hAnsi="Times New Roman" w:cs="Times New Roman"/>
          <w:b/>
          <w:sz w:val="24"/>
          <w:szCs w:val="24"/>
        </w:rPr>
        <w:t>paskaidrojuma raksts</w:t>
      </w:r>
    </w:p>
    <w:p w14:paraId="4F63E818" w14:textId="77777777" w:rsidR="007C35BA" w:rsidRPr="00FF753C" w:rsidRDefault="007C35BA" w:rsidP="007C35BA">
      <w:pPr>
        <w:spacing w:after="120" w:line="240" w:lineRule="auto"/>
        <w:ind w:firstLine="720"/>
        <w:rPr>
          <w:rFonts w:ascii="Times New Roman" w:eastAsia="Times New Roman" w:hAnsi="Times New Roman" w:cs="Times New Roman"/>
          <w:sz w:val="24"/>
          <w:szCs w:val="24"/>
        </w:rPr>
      </w:pPr>
    </w:p>
    <w:tbl>
      <w:tblPr>
        <w:tblStyle w:val="Reatabula"/>
        <w:tblW w:w="9067" w:type="dxa"/>
        <w:tblLook w:val="04A0" w:firstRow="1" w:lastRow="0" w:firstColumn="1" w:lastColumn="0" w:noHBand="0" w:noVBand="1"/>
      </w:tblPr>
      <w:tblGrid>
        <w:gridCol w:w="2739"/>
        <w:gridCol w:w="6328"/>
      </w:tblGrid>
      <w:tr w:rsidR="007C35BA" w:rsidRPr="00EC05AC" w14:paraId="283AF72A" w14:textId="77777777" w:rsidTr="00EC05AC">
        <w:tc>
          <w:tcPr>
            <w:tcW w:w="2739" w:type="dxa"/>
          </w:tcPr>
          <w:p w14:paraId="46CBD289" w14:textId="77777777" w:rsidR="007C35BA" w:rsidRPr="00EC05AC" w:rsidRDefault="007C35BA" w:rsidP="009B2E5C">
            <w:pPr>
              <w:spacing w:after="120"/>
              <w:jc w:val="center"/>
              <w:rPr>
                <w:rFonts w:ascii="Times New Roman" w:eastAsia="Times New Roman" w:hAnsi="Times New Roman" w:cs="Times New Roman"/>
                <w:b/>
                <w:bCs/>
                <w:sz w:val="24"/>
                <w:szCs w:val="24"/>
              </w:rPr>
            </w:pPr>
            <w:r w:rsidRPr="00EC05AC">
              <w:rPr>
                <w:rFonts w:ascii="Times New Roman" w:eastAsia="Times New Roman" w:hAnsi="Times New Roman" w:cs="Times New Roman"/>
                <w:b/>
                <w:bCs/>
                <w:sz w:val="24"/>
                <w:szCs w:val="24"/>
              </w:rPr>
              <w:t>Paskaidrojuma raksta sadaļas</w:t>
            </w:r>
          </w:p>
        </w:tc>
        <w:tc>
          <w:tcPr>
            <w:tcW w:w="6328" w:type="dxa"/>
          </w:tcPr>
          <w:p w14:paraId="1458A83D" w14:textId="77777777" w:rsidR="007C35BA" w:rsidRPr="00EC05AC" w:rsidRDefault="007C35BA" w:rsidP="009B2E5C">
            <w:pPr>
              <w:spacing w:after="120"/>
              <w:jc w:val="center"/>
              <w:rPr>
                <w:rFonts w:ascii="Times New Roman" w:eastAsia="Times New Roman" w:hAnsi="Times New Roman" w:cs="Times New Roman"/>
                <w:b/>
                <w:bCs/>
                <w:sz w:val="24"/>
                <w:szCs w:val="24"/>
              </w:rPr>
            </w:pPr>
            <w:r w:rsidRPr="00EC05AC">
              <w:rPr>
                <w:rFonts w:ascii="Times New Roman" w:eastAsia="Times New Roman" w:hAnsi="Times New Roman" w:cs="Times New Roman"/>
                <w:b/>
                <w:bCs/>
                <w:sz w:val="24"/>
                <w:szCs w:val="24"/>
              </w:rPr>
              <w:t>Norādāmā informācija</w:t>
            </w:r>
          </w:p>
        </w:tc>
      </w:tr>
      <w:tr w:rsidR="007C35BA" w:rsidRPr="00EC05AC" w14:paraId="77972D6B" w14:textId="77777777" w:rsidTr="00EC05AC">
        <w:tc>
          <w:tcPr>
            <w:tcW w:w="2739" w:type="dxa"/>
          </w:tcPr>
          <w:p w14:paraId="7928D946" w14:textId="066EAC2D" w:rsidR="007C35BA" w:rsidRPr="00EC05AC" w:rsidRDefault="00D82F0C" w:rsidP="007C35BA">
            <w:pPr>
              <w:pStyle w:val="Sarakstarindkopa"/>
              <w:numPr>
                <w:ilvl w:val="0"/>
                <w:numId w:val="1"/>
              </w:numPr>
              <w:spacing w:after="120"/>
              <w:ind w:left="318"/>
              <w:rPr>
                <w:rFonts w:ascii="Times New Roman" w:eastAsia="Times New Roman" w:hAnsi="Times New Roman" w:cs="Times New Roman"/>
                <w:color w:val="7030A0"/>
                <w:sz w:val="24"/>
                <w:szCs w:val="24"/>
              </w:rPr>
            </w:pPr>
            <w:r w:rsidRPr="00EC05AC">
              <w:rPr>
                <w:rFonts w:ascii="Times New Roman" w:hAnsi="Times New Roman" w:cs="Times New Roman"/>
                <w:sz w:val="24"/>
                <w:szCs w:val="24"/>
              </w:rPr>
              <w:t>Mērķis un nepieciešamības pamatojums </w:t>
            </w:r>
          </w:p>
        </w:tc>
        <w:tc>
          <w:tcPr>
            <w:tcW w:w="6328" w:type="dxa"/>
          </w:tcPr>
          <w:p w14:paraId="2F245C86" w14:textId="77777777" w:rsidR="007C35BA" w:rsidRPr="00EC05AC" w:rsidRDefault="007C35BA" w:rsidP="009B2E5C">
            <w:pPr>
              <w:spacing w:after="120"/>
              <w:jc w:val="both"/>
              <w:rPr>
                <w:rFonts w:ascii="Times New Roman" w:eastAsia="Times New Roman" w:hAnsi="Times New Roman" w:cs="Times New Roman"/>
                <w:sz w:val="24"/>
                <w:szCs w:val="24"/>
              </w:rPr>
            </w:pPr>
            <w:r w:rsidRPr="00EC05AC">
              <w:rPr>
                <w:rFonts w:ascii="Times New Roman" w:eastAsia="Times New Roman" w:hAnsi="Times New Roman" w:cs="Times New Roman"/>
                <w:sz w:val="24"/>
                <w:szCs w:val="24"/>
              </w:rPr>
              <w:t xml:space="preserve">Saistošie noteikumi (turpmāk – noteikumi) nosaka kapitālsabiedrību, kurās Ogres novada pašvaldībai (turpmāk – Pašvaldība) pieder 100% kapitāla daļas (turpmāk – kapitālsabiedrība), sniegtos pakalpojumus tirgus nepilnības vai daļējas tirgus nepilnības apstākļos, pārvaldītos stratēģiski svarīgos īpašumus un sniegos stratēģiski svarīgos pakalpojumus, kas ir nozīmīgi Ogres novada </w:t>
            </w:r>
            <w:r w:rsidRPr="00EC05AC">
              <w:rPr>
                <w:rFonts w:ascii="Times New Roman" w:hAnsi="Times New Roman" w:cs="Times New Roman"/>
                <w:sz w:val="24"/>
                <w:szCs w:val="24"/>
                <w:shd w:val="clear" w:color="auto" w:fill="FFFFFF"/>
              </w:rPr>
              <w:t>administratīvās teritorijas attīstībai un drošībai.</w:t>
            </w:r>
          </w:p>
          <w:p w14:paraId="20FE5188" w14:textId="77777777" w:rsidR="007C35BA" w:rsidRPr="00EC05AC" w:rsidRDefault="007C35BA" w:rsidP="009B2E5C">
            <w:pPr>
              <w:spacing w:after="120"/>
              <w:jc w:val="both"/>
              <w:rPr>
                <w:rFonts w:ascii="Times New Roman" w:eastAsia="Times New Roman" w:hAnsi="Times New Roman" w:cs="Times New Roman"/>
                <w:bCs/>
                <w:sz w:val="24"/>
                <w:szCs w:val="24"/>
              </w:rPr>
            </w:pPr>
            <w:r w:rsidRPr="00EC05AC">
              <w:rPr>
                <w:rFonts w:ascii="Times New Roman" w:hAnsi="Times New Roman" w:cs="Times New Roman"/>
                <w:sz w:val="24"/>
                <w:szCs w:val="24"/>
              </w:rPr>
              <w:t xml:space="preserve">      Izstrādājot Noteikumus, ņemti vērā Valsts pārvaldes iekārtas likuma un Publiskas personas </w:t>
            </w:r>
            <w:r w:rsidRPr="00EC05AC">
              <w:rPr>
                <w:rFonts w:ascii="Times New Roman" w:eastAsia="Times New Roman" w:hAnsi="Times New Roman" w:cs="Times New Roman"/>
                <w:bCs/>
                <w:sz w:val="24"/>
                <w:szCs w:val="24"/>
              </w:rPr>
              <w:t>kapitāla daļu un kapitālsabiedrību pārvaldības likuma nosacījumi.</w:t>
            </w:r>
          </w:p>
          <w:p w14:paraId="6290B6A3" w14:textId="77777777" w:rsidR="007A2F4C" w:rsidRPr="00EC05AC" w:rsidRDefault="007A2F4C" w:rsidP="007A2F4C">
            <w:pPr>
              <w:autoSpaceDE w:val="0"/>
              <w:autoSpaceDN w:val="0"/>
              <w:adjustRightInd w:val="0"/>
              <w:jc w:val="both"/>
              <w:rPr>
                <w:rFonts w:ascii="Times New Roman" w:hAnsi="Times New Roman" w:cs="Times New Roman"/>
                <w:color w:val="000000" w:themeColor="text1"/>
                <w:sz w:val="24"/>
                <w:szCs w:val="24"/>
              </w:rPr>
            </w:pPr>
            <w:r w:rsidRPr="00EC05AC">
              <w:rPr>
                <w:rFonts w:ascii="Times New Roman" w:hAnsi="Times New Roman" w:cs="Times New Roman"/>
                <w:color w:val="000000" w:themeColor="text1"/>
                <w:sz w:val="24"/>
                <w:szCs w:val="24"/>
              </w:rPr>
              <w:t xml:space="preserve">Saskaņā ar Valsts pārvaldes iekārtas likuma 88. panta ceturto daļu pēc tam, kad pašvaldības dome ir veikusi izvērtējumu pašvaldības līdzdalības iegūšanai kapitālsabiedrībā, tā izdod saistošos noteikumus, nosakot tirgus nepilnību vai tādus pašvaldības īpašumus vai preces un pakalpojumus, kas ir stratēģiski svarīgi pašvaldības administratīvās teritorijas attīstībai. </w:t>
            </w:r>
          </w:p>
          <w:p w14:paraId="64BB66DA" w14:textId="77777777" w:rsidR="007A2F4C" w:rsidRPr="00EC05AC" w:rsidRDefault="007A2F4C" w:rsidP="007A2F4C">
            <w:pPr>
              <w:autoSpaceDE w:val="0"/>
              <w:autoSpaceDN w:val="0"/>
              <w:adjustRightInd w:val="0"/>
              <w:jc w:val="both"/>
              <w:rPr>
                <w:rFonts w:ascii="Times New Roman" w:hAnsi="Times New Roman" w:cs="Times New Roman"/>
                <w:color w:val="000000" w:themeColor="text1"/>
                <w:sz w:val="24"/>
                <w:szCs w:val="24"/>
              </w:rPr>
            </w:pPr>
            <w:r w:rsidRPr="00EC05AC">
              <w:rPr>
                <w:rFonts w:ascii="Times New Roman" w:hAnsi="Times New Roman" w:cs="Times New Roman"/>
                <w:color w:val="000000" w:themeColor="text1"/>
                <w:sz w:val="24"/>
                <w:szCs w:val="24"/>
              </w:rPr>
              <w:t xml:space="preserve">    Atbilstoši Valsts pārvaldes iekārtas likuma 88. panta sestajai daļai šā panta ceturtajā daļā minētajā normatīvajā aktā norāda publiskas personas funkcijas un konkrētus komercdarbības veidus, kādos šīs funkcijas tiks pildītas, lai sasniegtu šā panta pirmajā daļā noteiktos mērķus.</w:t>
            </w:r>
          </w:p>
          <w:p w14:paraId="578A8182" w14:textId="77777777" w:rsidR="007C35BA" w:rsidRPr="00EC05AC" w:rsidRDefault="007C35BA" w:rsidP="009B2E5C">
            <w:pPr>
              <w:autoSpaceDE w:val="0"/>
              <w:autoSpaceDN w:val="0"/>
              <w:adjustRightInd w:val="0"/>
              <w:rPr>
                <w:rFonts w:ascii="Times New Roman" w:eastAsia="Times New Roman" w:hAnsi="Times New Roman" w:cs="Times New Roman"/>
                <w:color w:val="7030A0"/>
                <w:sz w:val="24"/>
                <w:szCs w:val="24"/>
              </w:rPr>
            </w:pPr>
          </w:p>
        </w:tc>
      </w:tr>
      <w:tr w:rsidR="00D82F0C" w:rsidRPr="00EC05AC" w14:paraId="7DB45C1B" w14:textId="77777777" w:rsidTr="00EC05AC">
        <w:tc>
          <w:tcPr>
            <w:tcW w:w="2739" w:type="dxa"/>
          </w:tcPr>
          <w:p w14:paraId="32086A9F" w14:textId="090DAE1D" w:rsidR="00D82F0C" w:rsidRPr="00EC05AC" w:rsidRDefault="00D82F0C" w:rsidP="007C35BA">
            <w:pPr>
              <w:pStyle w:val="Sarakstarindkopa"/>
              <w:numPr>
                <w:ilvl w:val="0"/>
                <w:numId w:val="1"/>
              </w:numPr>
              <w:spacing w:after="120"/>
              <w:ind w:left="318"/>
              <w:rPr>
                <w:rFonts w:ascii="Times New Roman" w:hAnsi="Times New Roman" w:cs="Times New Roman"/>
                <w:sz w:val="24"/>
                <w:szCs w:val="24"/>
              </w:rPr>
            </w:pPr>
            <w:r w:rsidRPr="00EC05AC">
              <w:rPr>
                <w:rFonts w:ascii="Times New Roman" w:hAnsi="Times New Roman" w:cs="Times New Roman"/>
                <w:sz w:val="24"/>
                <w:szCs w:val="24"/>
              </w:rPr>
              <w:t>Fiskālā ietekme uz pašvaldības budžetu </w:t>
            </w:r>
          </w:p>
        </w:tc>
        <w:tc>
          <w:tcPr>
            <w:tcW w:w="6328" w:type="dxa"/>
          </w:tcPr>
          <w:p w14:paraId="07EF2D95" w14:textId="772BF3BF" w:rsidR="00D82F0C" w:rsidRPr="00EC05AC" w:rsidRDefault="00D82F0C" w:rsidP="009B2E5C">
            <w:pPr>
              <w:spacing w:after="120"/>
              <w:jc w:val="both"/>
              <w:rPr>
                <w:rFonts w:ascii="Times New Roman" w:eastAsia="Times New Roman" w:hAnsi="Times New Roman" w:cs="Times New Roman"/>
                <w:sz w:val="24"/>
                <w:szCs w:val="24"/>
              </w:rPr>
            </w:pPr>
            <w:r w:rsidRPr="00EC05AC">
              <w:rPr>
                <w:rFonts w:ascii="Times New Roman" w:hAnsi="Times New Roman" w:cs="Times New Roman"/>
                <w:color w:val="000000" w:themeColor="text1"/>
                <w:sz w:val="24"/>
                <w:szCs w:val="24"/>
              </w:rPr>
              <w:t>Fiskālās ietekmes uz pašvaldības budžetu nav</w:t>
            </w:r>
          </w:p>
        </w:tc>
      </w:tr>
      <w:tr w:rsidR="007C35BA" w:rsidRPr="00EC05AC" w14:paraId="5B2A006F" w14:textId="77777777" w:rsidTr="00EC05AC">
        <w:tc>
          <w:tcPr>
            <w:tcW w:w="2739" w:type="dxa"/>
          </w:tcPr>
          <w:p w14:paraId="7DB64FDD" w14:textId="28251EBA" w:rsidR="007C35BA" w:rsidRPr="00EC05AC" w:rsidRDefault="007A2F4C" w:rsidP="007A2F4C">
            <w:pPr>
              <w:pStyle w:val="Sarakstarindkopa"/>
              <w:numPr>
                <w:ilvl w:val="0"/>
                <w:numId w:val="1"/>
              </w:numPr>
              <w:spacing w:after="120"/>
              <w:ind w:left="313"/>
              <w:rPr>
                <w:rFonts w:ascii="Times New Roman" w:eastAsia="Times New Roman" w:hAnsi="Times New Roman" w:cs="Times New Roman"/>
                <w:color w:val="0070C0"/>
                <w:sz w:val="24"/>
                <w:szCs w:val="24"/>
              </w:rPr>
            </w:pPr>
            <w:r w:rsidRPr="00EC05AC">
              <w:rPr>
                <w:rFonts w:ascii="Times New Roman" w:eastAsia="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328" w:type="dxa"/>
          </w:tcPr>
          <w:p w14:paraId="7D639D7F" w14:textId="3446AAF2" w:rsidR="00E866AA" w:rsidRPr="00EC05AC" w:rsidRDefault="00E866AA" w:rsidP="007A2F4C">
            <w:pPr>
              <w:autoSpaceDE w:val="0"/>
              <w:autoSpaceDN w:val="0"/>
              <w:adjustRightInd w:val="0"/>
              <w:jc w:val="both"/>
              <w:rPr>
                <w:rFonts w:ascii="Times New Roman" w:hAnsi="Times New Roman" w:cs="Times New Roman"/>
                <w:color w:val="000000" w:themeColor="text1"/>
                <w:sz w:val="24"/>
                <w:szCs w:val="24"/>
              </w:rPr>
            </w:pPr>
            <w:r w:rsidRPr="00EC05AC">
              <w:rPr>
                <w:rFonts w:ascii="Times New Roman" w:hAnsi="Times New Roman" w:cs="Times New Roman"/>
                <w:color w:val="000000" w:themeColor="text1"/>
                <w:sz w:val="24"/>
                <w:szCs w:val="24"/>
              </w:rPr>
              <w:t>Sociālā ietekme – nav</w:t>
            </w:r>
          </w:p>
          <w:p w14:paraId="6A55D392" w14:textId="665DDD3A" w:rsidR="00E866AA" w:rsidRPr="00EC05AC" w:rsidRDefault="00E866AA" w:rsidP="007A2F4C">
            <w:pPr>
              <w:autoSpaceDE w:val="0"/>
              <w:autoSpaceDN w:val="0"/>
              <w:adjustRightInd w:val="0"/>
              <w:jc w:val="both"/>
              <w:rPr>
                <w:rFonts w:ascii="Times New Roman" w:hAnsi="Times New Roman" w:cs="Times New Roman"/>
                <w:color w:val="000000" w:themeColor="text1"/>
                <w:sz w:val="24"/>
                <w:szCs w:val="24"/>
              </w:rPr>
            </w:pPr>
            <w:r w:rsidRPr="00EC05AC">
              <w:rPr>
                <w:rFonts w:ascii="Times New Roman" w:hAnsi="Times New Roman" w:cs="Times New Roman"/>
                <w:color w:val="000000" w:themeColor="text1"/>
                <w:sz w:val="24"/>
                <w:szCs w:val="24"/>
              </w:rPr>
              <w:t>Ietekme uz vidi – nav</w:t>
            </w:r>
          </w:p>
          <w:p w14:paraId="5EFC3C4B" w14:textId="183DE166" w:rsidR="00E866AA" w:rsidRPr="00EC05AC" w:rsidRDefault="00E866AA" w:rsidP="007A2F4C">
            <w:pPr>
              <w:autoSpaceDE w:val="0"/>
              <w:autoSpaceDN w:val="0"/>
              <w:adjustRightInd w:val="0"/>
              <w:jc w:val="both"/>
              <w:rPr>
                <w:rFonts w:ascii="Times New Roman" w:hAnsi="Times New Roman" w:cs="Times New Roman"/>
                <w:color w:val="000000" w:themeColor="text1"/>
                <w:sz w:val="24"/>
                <w:szCs w:val="24"/>
              </w:rPr>
            </w:pPr>
            <w:r w:rsidRPr="00EC05AC">
              <w:rPr>
                <w:rFonts w:ascii="Times New Roman" w:hAnsi="Times New Roman" w:cs="Times New Roman"/>
                <w:color w:val="000000" w:themeColor="text1"/>
                <w:sz w:val="24"/>
                <w:szCs w:val="24"/>
              </w:rPr>
              <w:t>Ietekme uz iedzīvotāju veselību – nav</w:t>
            </w:r>
          </w:p>
          <w:p w14:paraId="36270E68" w14:textId="792165CC" w:rsidR="00B1298C" w:rsidRPr="00EC05AC" w:rsidRDefault="00E866AA" w:rsidP="007A2F4C">
            <w:pPr>
              <w:autoSpaceDE w:val="0"/>
              <w:autoSpaceDN w:val="0"/>
              <w:adjustRightInd w:val="0"/>
              <w:jc w:val="both"/>
              <w:rPr>
                <w:rFonts w:ascii="Times New Roman" w:hAnsi="Times New Roman" w:cs="Times New Roman"/>
                <w:color w:val="000000" w:themeColor="text1"/>
                <w:sz w:val="24"/>
                <w:szCs w:val="24"/>
              </w:rPr>
            </w:pPr>
            <w:r w:rsidRPr="00EC05AC">
              <w:rPr>
                <w:rFonts w:ascii="Times New Roman" w:hAnsi="Times New Roman" w:cs="Times New Roman"/>
                <w:color w:val="000000" w:themeColor="text1"/>
                <w:sz w:val="24"/>
                <w:szCs w:val="24"/>
              </w:rPr>
              <w:t xml:space="preserve">Ietekme uz uzņēmējdarbības vidi </w:t>
            </w:r>
            <w:r w:rsidR="00B1298C" w:rsidRPr="00EC05AC">
              <w:rPr>
                <w:rFonts w:ascii="Times New Roman" w:hAnsi="Times New Roman" w:cs="Times New Roman"/>
                <w:color w:val="000000" w:themeColor="text1"/>
                <w:sz w:val="24"/>
                <w:szCs w:val="24"/>
              </w:rPr>
              <w:t>–</w:t>
            </w:r>
            <w:r w:rsidRPr="00EC05AC">
              <w:rPr>
                <w:rFonts w:ascii="Times New Roman" w:hAnsi="Times New Roman" w:cs="Times New Roman"/>
                <w:color w:val="000000" w:themeColor="text1"/>
                <w:sz w:val="24"/>
                <w:szCs w:val="24"/>
              </w:rPr>
              <w:t xml:space="preserve"> </w:t>
            </w:r>
            <w:r w:rsidR="00B1298C" w:rsidRPr="00EC05AC">
              <w:rPr>
                <w:rFonts w:ascii="Times New Roman" w:hAnsi="Times New Roman" w:cs="Times New Roman"/>
                <w:color w:val="000000" w:themeColor="text1"/>
                <w:sz w:val="24"/>
                <w:szCs w:val="24"/>
              </w:rPr>
              <w:t>ietekme ir pozitīva, iedzīvotāji un uzņēmēji ir informēti uzņēmējdarbību novadā.</w:t>
            </w:r>
          </w:p>
          <w:p w14:paraId="5B49AB8A" w14:textId="6E23691C" w:rsidR="00041DEE" w:rsidRPr="00EC05AC" w:rsidRDefault="00B1298C" w:rsidP="007A2F4C">
            <w:pPr>
              <w:autoSpaceDE w:val="0"/>
              <w:autoSpaceDN w:val="0"/>
              <w:adjustRightInd w:val="0"/>
              <w:jc w:val="both"/>
              <w:rPr>
                <w:rFonts w:ascii="Times New Roman" w:hAnsi="Times New Roman" w:cs="Times New Roman"/>
                <w:color w:val="000000" w:themeColor="text1"/>
                <w:sz w:val="24"/>
                <w:szCs w:val="24"/>
              </w:rPr>
            </w:pPr>
            <w:r w:rsidRPr="00EC05AC">
              <w:rPr>
                <w:rFonts w:ascii="Times New Roman" w:hAnsi="Times New Roman" w:cs="Times New Roman"/>
                <w:color w:val="000000" w:themeColor="text1"/>
                <w:sz w:val="24"/>
                <w:szCs w:val="24"/>
              </w:rPr>
              <w:t xml:space="preserve">Ietekme uz konkurenci </w:t>
            </w:r>
            <w:r w:rsidR="00041DEE" w:rsidRPr="00EC05AC">
              <w:rPr>
                <w:rFonts w:ascii="Times New Roman" w:hAnsi="Times New Roman" w:cs="Times New Roman"/>
                <w:color w:val="000000" w:themeColor="text1"/>
                <w:sz w:val="24"/>
                <w:szCs w:val="24"/>
              </w:rPr>
              <w:t>–</w:t>
            </w:r>
            <w:r w:rsidRPr="00EC05AC">
              <w:rPr>
                <w:rFonts w:ascii="Times New Roman" w:hAnsi="Times New Roman" w:cs="Times New Roman"/>
                <w:color w:val="000000" w:themeColor="text1"/>
                <w:sz w:val="24"/>
                <w:szCs w:val="24"/>
              </w:rPr>
              <w:t xml:space="preserve"> </w:t>
            </w:r>
            <w:r w:rsidR="00041DEE" w:rsidRPr="00EC05AC">
              <w:rPr>
                <w:rFonts w:ascii="Times New Roman" w:hAnsi="Times New Roman" w:cs="Times New Roman"/>
                <w:color w:val="000000" w:themeColor="text1"/>
                <w:sz w:val="24"/>
                <w:szCs w:val="24"/>
              </w:rPr>
              <w:t>ietekme uz konkurenci ir pozitīva, tiek veicināta privāto komersantu iesaiste tirgus nepilnību novēršanā pašvaldības administratīvajā teritorijā</w:t>
            </w:r>
            <w:r w:rsidR="008E1FC9" w:rsidRPr="00EC05AC">
              <w:rPr>
                <w:rFonts w:ascii="Times New Roman" w:hAnsi="Times New Roman" w:cs="Times New Roman"/>
                <w:color w:val="000000" w:themeColor="text1"/>
                <w:sz w:val="24"/>
                <w:szCs w:val="24"/>
              </w:rPr>
              <w:t xml:space="preserve">. </w:t>
            </w:r>
          </w:p>
          <w:p w14:paraId="3AE2A6F2" w14:textId="77777777" w:rsidR="008E1FC9" w:rsidRPr="00EC05AC" w:rsidRDefault="008E1FC9" w:rsidP="008E1FC9">
            <w:pPr>
              <w:pStyle w:val="Default"/>
              <w:jc w:val="both"/>
              <w:rPr>
                <w:rFonts w:ascii="Times New Roman" w:hAnsi="Times New Roman" w:cs="Times New Roman"/>
                <w:color w:val="000000" w:themeColor="text1"/>
                <w:sz w:val="24"/>
                <w:szCs w:val="24"/>
              </w:rPr>
            </w:pPr>
            <w:r w:rsidRPr="00EC05AC">
              <w:rPr>
                <w:rFonts w:ascii="Times New Roman" w:eastAsia="Times New Roman" w:hAnsi="Times New Roman" w:cs="Times New Roman"/>
                <w:color w:val="000000" w:themeColor="text1"/>
                <w:sz w:val="24"/>
                <w:szCs w:val="24"/>
              </w:rPr>
              <w:t xml:space="preserve">Noteikumi attiecas uz </w:t>
            </w:r>
            <w:r w:rsidRPr="00EC05AC">
              <w:rPr>
                <w:rFonts w:ascii="Times New Roman" w:hAnsi="Times New Roman" w:cs="Times New Roman"/>
                <w:color w:val="000000" w:themeColor="text1"/>
                <w:sz w:val="24"/>
                <w:szCs w:val="24"/>
              </w:rPr>
              <w:t xml:space="preserve">komersantiem, kas var būt ieinteresēti veikt komercdarbību un iegūt informāciju par stratēģiski svarīgiem īpašumiem un stratēģiski svarīgiem pakalpojumiem, kā arī par komercdarbības jomām, kurās pastāv tirgus nepilnība. </w:t>
            </w:r>
          </w:p>
          <w:p w14:paraId="5F97BC91" w14:textId="1319AE8A" w:rsidR="007C35BA" w:rsidRPr="00EC05AC" w:rsidRDefault="00E866AA" w:rsidP="007A2F4C">
            <w:pPr>
              <w:autoSpaceDE w:val="0"/>
              <w:autoSpaceDN w:val="0"/>
              <w:adjustRightInd w:val="0"/>
              <w:jc w:val="both"/>
              <w:rPr>
                <w:rFonts w:ascii="Times New Roman" w:eastAsia="Times New Roman" w:hAnsi="Times New Roman" w:cs="Times New Roman"/>
                <w:color w:val="0070C0"/>
                <w:sz w:val="24"/>
                <w:szCs w:val="24"/>
              </w:rPr>
            </w:pPr>
            <w:r w:rsidRPr="00EC05AC">
              <w:rPr>
                <w:rFonts w:ascii="Times New Roman" w:hAnsi="Times New Roman" w:cs="Times New Roman"/>
                <w:color w:val="000000" w:themeColor="text1"/>
                <w:sz w:val="24"/>
                <w:szCs w:val="24"/>
              </w:rPr>
              <w:t xml:space="preserve">    </w:t>
            </w:r>
            <w:r w:rsidR="007C35BA" w:rsidRPr="00EC05AC">
              <w:rPr>
                <w:rFonts w:ascii="Times New Roman" w:hAnsi="Times New Roman" w:cs="Times New Roman"/>
                <w:color w:val="000000" w:themeColor="text1"/>
                <w:sz w:val="24"/>
                <w:szCs w:val="24"/>
              </w:rPr>
              <w:t xml:space="preserve">       </w:t>
            </w:r>
          </w:p>
        </w:tc>
      </w:tr>
      <w:tr w:rsidR="005C4E9B" w:rsidRPr="00EC05AC" w14:paraId="3CE62933" w14:textId="77777777" w:rsidTr="00EC05AC">
        <w:tc>
          <w:tcPr>
            <w:tcW w:w="2739" w:type="dxa"/>
          </w:tcPr>
          <w:p w14:paraId="011734FB" w14:textId="7728915A" w:rsidR="005C4E9B" w:rsidRPr="00EC05AC" w:rsidRDefault="005C4E9B" w:rsidP="007A2F4C">
            <w:pPr>
              <w:pStyle w:val="Sarakstarindkopa"/>
              <w:numPr>
                <w:ilvl w:val="0"/>
                <w:numId w:val="1"/>
              </w:numPr>
              <w:spacing w:after="120"/>
              <w:ind w:left="313"/>
              <w:rPr>
                <w:rFonts w:ascii="Times New Roman" w:eastAsia="Times New Roman" w:hAnsi="Times New Roman" w:cs="Times New Roman"/>
                <w:sz w:val="24"/>
                <w:szCs w:val="24"/>
              </w:rPr>
            </w:pPr>
            <w:r w:rsidRPr="00EC05AC">
              <w:rPr>
                <w:rFonts w:ascii="Times New Roman" w:hAnsi="Times New Roman" w:cs="Times New Roman"/>
                <w:sz w:val="24"/>
                <w:szCs w:val="24"/>
              </w:rPr>
              <w:t xml:space="preserve">Ietekme uz administratīvajām </w:t>
            </w:r>
            <w:r w:rsidRPr="00EC05AC">
              <w:rPr>
                <w:rFonts w:ascii="Times New Roman" w:hAnsi="Times New Roman" w:cs="Times New Roman"/>
                <w:sz w:val="24"/>
                <w:szCs w:val="24"/>
              </w:rPr>
              <w:lastRenderedPageBreak/>
              <w:t>procedūrām un to izmaksām </w:t>
            </w:r>
          </w:p>
        </w:tc>
        <w:tc>
          <w:tcPr>
            <w:tcW w:w="6328" w:type="dxa"/>
          </w:tcPr>
          <w:p w14:paraId="2ACE67DA" w14:textId="1F22B41B" w:rsidR="005C4E9B" w:rsidRPr="00EC05AC" w:rsidRDefault="005C4E9B" w:rsidP="005C4E9B">
            <w:pPr>
              <w:pStyle w:val="naisnod"/>
              <w:spacing w:before="0" w:after="0"/>
              <w:jc w:val="both"/>
              <w:rPr>
                <w:b w:val="0"/>
                <w:color w:val="000000"/>
              </w:rPr>
            </w:pPr>
            <w:r w:rsidRPr="00EC05AC">
              <w:rPr>
                <w:b w:val="0"/>
                <w:color w:val="000000"/>
              </w:rPr>
              <w:lastRenderedPageBreak/>
              <w:t>Saistošo noteikumu izpildes nodrošināšanai nav nepieciešams veidot jaunas pašvaldības institūcijas, darba vietas vai paplašināt esošo</w:t>
            </w:r>
            <w:r w:rsidR="00421259" w:rsidRPr="00EC05AC">
              <w:rPr>
                <w:b w:val="0"/>
                <w:color w:val="000000"/>
              </w:rPr>
              <w:t xml:space="preserve"> pašvaldības</w:t>
            </w:r>
            <w:r w:rsidRPr="00EC05AC">
              <w:rPr>
                <w:b w:val="0"/>
                <w:color w:val="000000"/>
              </w:rPr>
              <w:t xml:space="preserve"> institūciju kompetenci. </w:t>
            </w:r>
          </w:p>
          <w:p w14:paraId="341AB7B2" w14:textId="4B72E82F" w:rsidR="005C4E9B" w:rsidRPr="00EC05AC" w:rsidRDefault="005C4E9B" w:rsidP="005C4E9B">
            <w:pPr>
              <w:autoSpaceDE w:val="0"/>
              <w:autoSpaceDN w:val="0"/>
              <w:adjustRightInd w:val="0"/>
              <w:jc w:val="both"/>
              <w:rPr>
                <w:rFonts w:ascii="Times New Roman" w:hAnsi="Times New Roman" w:cs="Times New Roman"/>
                <w:sz w:val="24"/>
                <w:szCs w:val="24"/>
              </w:rPr>
            </w:pPr>
            <w:r w:rsidRPr="00EC05AC">
              <w:rPr>
                <w:rFonts w:ascii="Times New Roman" w:hAnsi="Times New Roman" w:cs="Times New Roman"/>
                <w:color w:val="000000"/>
                <w:sz w:val="24"/>
                <w:szCs w:val="24"/>
              </w:rPr>
              <w:lastRenderedPageBreak/>
              <w:t>Jautājumu un neskaidrību gadījumā par saistošo noteikumu piemērošanu iedzīvotāji var vērsties Ogres novada pašvaldībā.</w:t>
            </w:r>
          </w:p>
          <w:p w14:paraId="72583495" w14:textId="08C8556B" w:rsidR="005C4E9B" w:rsidRPr="00EC05AC" w:rsidRDefault="005C4E9B" w:rsidP="007A2F4C">
            <w:pPr>
              <w:autoSpaceDE w:val="0"/>
              <w:autoSpaceDN w:val="0"/>
              <w:adjustRightInd w:val="0"/>
              <w:jc w:val="both"/>
              <w:rPr>
                <w:rFonts w:ascii="Times New Roman" w:hAnsi="Times New Roman" w:cs="Times New Roman"/>
                <w:color w:val="000000" w:themeColor="text1"/>
                <w:sz w:val="24"/>
                <w:szCs w:val="24"/>
              </w:rPr>
            </w:pPr>
          </w:p>
        </w:tc>
      </w:tr>
      <w:tr w:rsidR="008B29F5" w:rsidRPr="00EC05AC" w14:paraId="780CB030" w14:textId="77777777" w:rsidTr="00EC05AC">
        <w:tc>
          <w:tcPr>
            <w:tcW w:w="2739" w:type="dxa"/>
          </w:tcPr>
          <w:p w14:paraId="14DEC5D6" w14:textId="28C81DCE" w:rsidR="008B29F5" w:rsidRPr="00EC05AC" w:rsidRDefault="008B29F5" w:rsidP="007A2F4C">
            <w:pPr>
              <w:pStyle w:val="Sarakstarindkopa"/>
              <w:numPr>
                <w:ilvl w:val="0"/>
                <w:numId w:val="1"/>
              </w:numPr>
              <w:spacing w:after="120"/>
              <w:ind w:left="313"/>
              <w:rPr>
                <w:rFonts w:ascii="Times New Roman" w:hAnsi="Times New Roman" w:cs="Times New Roman"/>
                <w:sz w:val="24"/>
                <w:szCs w:val="24"/>
              </w:rPr>
            </w:pPr>
            <w:r w:rsidRPr="00EC05AC">
              <w:rPr>
                <w:rFonts w:ascii="Times New Roman" w:hAnsi="Times New Roman" w:cs="Times New Roman"/>
                <w:color w:val="000000" w:themeColor="text1"/>
                <w:sz w:val="24"/>
                <w:szCs w:val="24"/>
              </w:rPr>
              <w:lastRenderedPageBreak/>
              <w:t>Ietekme uz pašvaldības funkcijām un cilvēkresursiem </w:t>
            </w:r>
          </w:p>
        </w:tc>
        <w:tc>
          <w:tcPr>
            <w:tcW w:w="6328" w:type="dxa"/>
          </w:tcPr>
          <w:p w14:paraId="41586AF9" w14:textId="19D02A8F" w:rsidR="008B29F5" w:rsidRPr="00EC05AC" w:rsidRDefault="008B29F5" w:rsidP="005C4E9B">
            <w:pPr>
              <w:pStyle w:val="naisnod"/>
              <w:spacing w:before="0" w:after="0"/>
              <w:jc w:val="both"/>
              <w:rPr>
                <w:b w:val="0"/>
                <w:bCs w:val="0"/>
                <w:color w:val="000000"/>
              </w:rPr>
            </w:pPr>
            <w:r w:rsidRPr="00EC05AC">
              <w:rPr>
                <w:b w:val="0"/>
                <w:bCs w:val="0"/>
                <w:color w:val="000000"/>
              </w:rPr>
              <w:t>Saistošo noteikumu izpilde neietekmēs pašvaldībai pieejamos cilvēkresursus.</w:t>
            </w:r>
          </w:p>
        </w:tc>
      </w:tr>
      <w:tr w:rsidR="00FF54D0" w:rsidRPr="00EC05AC" w14:paraId="574F44FB" w14:textId="77777777" w:rsidTr="00EC05AC">
        <w:tc>
          <w:tcPr>
            <w:tcW w:w="2739" w:type="dxa"/>
          </w:tcPr>
          <w:p w14:paraId="57AF4E9D" w14:textId="62455195" w:rsidR="00FF54D0" w:rsidRPr="00EC05AC" w:rsidRDefault="00FF54D0" w:rsidP="007A2F4C">
            <w:pPr>
              <w:pStyle w:val="Sarakstarindkopa"/>
              <w:numPr>
                <w:ilvl w:val="0"/>
                <w:numId w:val="1"/>
              </w:numPr>
              <w:spacing w:after="120"/>
              <w:ind w:left="313"/>
              <w:rPr>
                <w:rFonts w:ascii="Times New Roman" w:hAnsi="Times New Roman" w:cs="Times New Roman"/>
                <w:color w:val="000000" w:themeColor="text1"/>
                <w:sz w:val="24"/>
                <w:szCs w:val="24"/>
              </w:rPr>
            </w:pPr>
            <w:r w:rsidRPr="00EC05AC">
              <w:rPr>
                <w:rFonts w:ascii="Times New Roman" w:hAnsi="Times New Roman" w:cs="Times New Roman"/>
                <w:sz w:val="24"/>
                <w:szCs w:val="24"/>
              </w:rPr>
              <w:t>Informācija par izpildes nodrošināšanu </w:t>
            </w:r>
          </w:p>
        </w:tc>
        <w:tc>
          <w:tcPr>
            <w:tcW w:w="6328" w:type="dxa"/>
          </w:tcPr>
          <w:p w14:paraId="2588CB5C" w14:textId="77777777" w:rsidR="00421259" w:rsidRPr="00EC05AC" w:rsidRDefault="00421259" w:rsidP="00421259">
            <w:pPr>
              <w:pStyle w:val="naisnod"/>
              <w:spacing w:before="0" w:after="0"/>
              <w:jc w:val="both"/>
              <w:rPr>
                <w:b w:val="0"/>
                <w:color w:val="000000"/>
              </w:rPr>
            </w:pPr>
            <w:r w:rsidRPr="00EC05AC">
              <w:rPr>
                <w:b w:val="0"/>
                <w:color w:val="000000"/>
              </w:rPr>
              <w:t xml:space="preserve">Saistošo noteikumu izpildes nodrošināšanai nav nepieciešams veidot jaunas pašvaldības institūcijas, darba vietas vai paplašināt esošo pašvaldības institūciju kompetenci. </w:t>
            </w:r>
          </w:p>
          <w:p w14:paraId="7B67C721" w14:textId="77777777" w:rsidR="00FF54D0" w:rsidRPr="00EC05AC" w:rsidRDefault="00FF54D0" w:rsidP="005C4E9B">
            <w:pPr>
              <w:pStyle w:val="naisnod"/>
              <w:spacing w:before="0" w:after="0"/>
              <w:jc w:val="both"/>
              <w:rPr>
                <w:b w:val="0"/>
                <w:bCs w:val="0"/>
                <w:color w:val="000000"/>
              </w:rPr>
            </w:pPr>
          </w:p>
        </w:tc>
      </w:tr>
      <w:tr w:rsidR="008E1FC9" w:rsidRPr="00EC05AC" w14:paraId="5BE799CF" w14:textId="77777777" w:rsidTr="00EC05AC">
        <w:tc>
          <w:tcPr>
            <w:tcW w:w="2739" w:type="dxa"/>
          </w:tcPr>
          <w:p w14:paraId="6532DA69" w14:textId="4962EF9D" w:rsidR="008E1FC9" w:rsidRPr="00EC05AC" w:rsidRDefault="008E1FC9" w:rsidP="007A2F4C">
            <w:pPr>
              <w:pStyle w:val="Sarakstarindkopa"/>
              <w:numPr>
                <w:ilvl w:val="0"/>
                <w:numId w:val="1"/>
              </w:numPr>
              <w:spacing w:after="120"/>
              <w:ind w:left="313"/>
              <w:rPr>
                <w:rFonts w:ascii="Times New Roman" w:hAnsi="Times New Roman" w:cs="Times New Roman"/>
                <w:sz w:val="24"/>
                <w:szCs w:val="24"/>
              </w:rPr>
            </w:pPr>
            <w:r w:rsidRPr="00EC05AC">
              <w:rPr>
                <w:rFonts w:ascii="Times New Roman" w:hAnsi="Times New Roman" w:cs="Times New Roman"/>
                <w:color w:val="000000" w:themeColor="text1"/>
                <w:sz w:val="24"/>
                <w:szCs w:val="24"/>
              </w:rPr>
              <w:t>Prasību un izmaksu samērīgums pret ieguvumiem, ko sniedz mērķa sasniegšana </w:t>
            </w:r>
          </w:p>
        </w:tc>
        <w:tc>
          <w:tcPr>
            <w:tcW w:w="6328" w:type="dxa"/>
          </w:tcPr>
          <w:p w14:paraId="6AF1DE3C" w14:textId="22AC59DC" w:rsidR="008E1FC9" w:rsidRPr="00EC05AC" w:rsidRDefault="008E1FC9" w:rsidP="00421259">
            <w:pPr>
              <w:pStyle w:val="naisnod"/>
              <w:spacing w:before="0" w:after="0"/>
              <w:jc w:val="both"/>
              <w:rPr>
                <w:b w:val="0"/>
                <w:bCs w:val="0"/>
                <w:color w:val="000000" w:themeColor="text1"/>
              </w:rPr>
            </w:pPr>
            <w:r w:rsidRPr="00EC05AC">
              <w:rPr>
                <w:b w:val="0"/>
                <w:bCs w:val="0"/>
                <w:color w:val="000000" w:themeColor="text1"/>
              </w:rPr>
              <w:t xml:space="preserve">Saistošie noteikumi ir piemēroti Valsts pārvaldes iekārtas likuma 88.panta ceturtajā daļā uzliktā pienākuma izpildei - </w:t>
            </w:r>
            <w:r w:rsidRPr="00EC05AC">
              <w:rPr>
                <w:b w:val="0"/>
                <w:bCs w:val="0"/>
                <w:color w:val="000000" w:themeColor="text1"/>
                <w:shd w:val="clear" w:color="auto" w:fill="FFFFFF"/>
              </w:rPr>
              <w:t>izdod saistošos noteikumus, kuros nosaka tirgus nepilnību vai tādus pašvaldības īpašumus, vai preces un pakalpojumus, kas ir stratēģiski svarīgi pašvaldības administratīvās teritorijas attīstībai. </w:t>
            </w:r>
          </w:p>
        </w:tc>
      </w:tr>
      <w:tr w:rsidR="008E1FC9" w:rsidRPr="00EC05AC" w14:paraId="68FE9835" w14:textId="77777777" w:rsidTr="00EC05AC">
        <w:tc>
          <w:tcPr>
            <w:tcW w:w="2739" w:type="dxa"/>
          </w:tcPr>
          <w:p w14:paraId="201D4DD5" w14:textId="46EFBBFA" w:rsidR="008E1FC9" w:rsidRPr="00EC05AC" w:rsidRDefault="008E1FC9" w:rsidP="007A2F4C">
            <w:pPr>
              <w:pStyle w:val="Sarakstarindkopa"/>
              <w:numPr>
                <w:ilvl w:val="0"/>
                <w:numId w:val="1"/>
              </w:numPr>
              <w:spacing w:after="120"/>
              <w:ind w:left="313"/>
              <w:rPr>
                <w:rFonts w:ascii="Times New Roman" w:hAnsi="Times New Roman" w:cs="Times New Roman"/>
                <w:color w:val="000000" w:themeColor="text1"/>
                <w:sz w:val="24"/>
                <w:szCs w:val="24"/>
              </w:rPr>
            </w:pPr>
            <w:r w:rsidRPr="00EC05AC">
              <w:rPr>
                <w:rFonts w:ascii="Times New Roman" w:hAnsi="Times New Roman" w:cs="Times New Roman"/>
                <w:color w:val="000000" w:themeColor="text1"/>
                <w:sz w:val="24"/>
                <w:szCs w:val="24"/>
              </w:rPr>
              <w:t>Izstrādes gaitā veiktās konsultācijas ar privātpersonām un institūcijām </w:t>
            </w:r>
          </w:p>
        </w:tc>
        <w:tc>
          <w:tcPr>
            <w:tcW w:w="6328" w:type="dxa"/>
          </w:tcPr>
          <w:p w14:paraId="1F3FADE3" w14:textId="6A69D275" w:rsidR="008E1FC9" w:rsidRPr="00EC05AC" w:rsidRDefault="00C21708" w:rsidP="00421259">
            <w:pPr>
              <w:pStyle w:val="naisnod"/>
              <w:spacing w:before="0" w:after="0"/>
              <w:jc w:val="both"/>
              <w:rPr>
                <w:b w:val="0"/>
                <w:bCs w:val="0"/>
                <w:color w:val="000000" w:themeColor="text1"/>
              </w:rPr>
            </w:pPr>
            <w:r w:rsidRPr="00EC05AC">
              <w:rPr>
                <w:b w:val="0"/>
                <w:bCs w:val="0"/>
              </w:rPr>
              <w:t>Saistošo noteikumu publiskās apspriešanas laiks ir paredzēts no 2024.</w:t>
            </w:r>
            <w:r w:rsidR="00EC05AC">
              <w:rPr>
                <w:b w:val="0"/>
                <w:bCs w:val="0"/>
              </w:rPr>
              <w:t xml:space="preserve"> </w:t>
            </w:r>
            <w:r w:rsidRPr="00EC05AC">
              <w:rPr>
                <w:b w:val="0"/>
                <w:bCs w:val="0"/>
              </w:rPr>
              <w:t xml:space="preserve">gada </w:t>
            </w:r>
            <w:r w:rsidR="00EC05AC">
              <w:rPr>
                <w:b w:val="0"/>
                <w:bCs w:val="0"/>
              </w:rPr>
              <w:t>30</w:t>
            </w:r>
            <w:r w:rsidRPr="00EC05AC">
              <w:rPr>
                <w:b w:val="0"/>
                <w:bCs w:val="0"/>
              </w:rPr>
              <w:t>.</w:t>
            </w:r>
            <w:r w:rsidR="00EC05AC">
              <w:rPr>
                <w:b w:val="0"/>
                <w:bCs w:val="0"/>
              </w:rPr>
              <w:t xml:space="preserve"> </w:t>
            </w:r>
            <w:r w:rsidRPr="00EC05AC">
              <w:rPr>
                <w:b w:val="0"/>
                <w:bCs w:val="0"/>
              </w:rPr>
              <w:t xml:space="preserve">maija līdz </w:t>
            </w:r>
            <w:r w:rsidR="00EC05AC">
              <w:rPr>
                <w:b w:val="0"/>
                <w:bCs w:val="0"/>
              </w:rPr>
              <w:t>13</w:t>
            </w:r>
            <w:r w:rsidRPr="00EC05AC">
              <w:rPr>
                <w:b w:val="0"/>
                <w:bCs w:val="0"/>
              </w:rPr>
              <w:t>.</w:t>
            </w:r>
            <w:r w:rsidR="00EC05AC">
              <w:rPr>
                <w:b w:val="0"/>
                <w:bCs w:val="0"/>
              </w:rPr>
              <w:t xml:space="preserve"> </w:t>
            </w:r>
            <w:r w:rsidRPr="00EC05AC">
              <w:rPr>
                <w:b w:val="0"/>
                <w:bCs w:val="0"/>
              </w:rPr>
              <w:t>jūnijam.</w:t>
            </w:r>
          </w:p>
        </w:tc>
      </w:tr>
    </w:tbl>
    <w:p w14:paraId="7C1766A8" w14:textId="77777777" w:rsidR="00420AD8" w:rsidRPr="00EC05AC" w:rsidRDefault="00420AD8">
      <w:pPr>
        <w:rPr>
          <w:sz w:val="24"/>
          <w:szCs w:val="24"/>
        </w:rPr>
      </w:pPr>
    </w:p>
    <w:p w14:paraId="5AFC58F9" w14:textId="77777777" w:rsidR="00CC3EB7" w:rsidRDefault="00CC3EB7"/>
    <w:p w14:paraId="575E0479" w14:textId="1796AFB0" w:rsidR="00CC3EB7" w:rsidRDefault="00CC3EB7">
      <w:r w:rsidRPr="006958E7">
        <w:rPr>
          <w:rFonts w:ascii="Times New Roman" w:eastAsia="Times New Roman" w:hAnsi="Times New Roman" w:cs="Times New Roman"/>
          <w:sz w:val="24"/>
          <w:szCs w:val="24"/>
        </w:rPr>
        <w:t xml:space="preserve">Domes priekšsēdētājs </w:t>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t>E.</w:t>
      </w:r>
      <w:r w:rsidR="00EC05AC">
        <w:rPr>
          <w:rFonts w:ascii="Times New Roman" w:eastAsia="Times New Roman" w:hAnsi="Times New Roman" w:cs="Times New Roman"/>
          <w:sz w:val="24"/>
          <w:szCs w:val="24"/>
        </w:rPr>
        <w:t xml:space="preserve"> </w:t>
      </w:r>
      <w:r w:rsidRPr="006958E7">
        <w:rPr>
          <w:rFonts w:ascii="Times New Roman" w:eastAsia="Times New Roman" w:hAnsi="Times New Roman" w:cs="Times New Roman"/>
          <w:sz w:val="24"/>
          <w:szCs w:val="24"/>
        </w:rPr>
        <w:t>Helmanis</w:t>
      </w:r>
    </w:p>
    <w:sectPr w:rsidR="00CC3EB7" w:rsidSect="00EC05A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EE3D9" w14:textId="77777777" w:rsidR="00D95969" w:rsidRDefault="00D95969" w:rsidP="00C671B2">
      <w:pPr>
        <w:spacing w:after="0" w:line="240" w:lineRule="auto"/>
      </w:pPr>
      <w:r>
        <w:separator/>
      </w:r>
    </w:p>
  </w:endnote>
  <w:endnote w:type="continuationSeparator" w:id="0">
    <w:p w14:paraId="49583853" w14:textId="77777777" w:rsidR="00D95969" w:rsidRDefault="00D95969" w:rsidP="00C6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D3564" w14:textId="77777777" w:rsidR="00D95969" w:rsidRDefault="00D95969" w:rsidP="00C671B2">
      <w:pPr>
        <w:spacing w:after="0" w:line="240" w:lineRule="auto"/>
      </w:pPr>
      <w:r>
        <w:separator/>
      </w:r>
    </w:p>
  </w:footnote>
  <w:footnote w:type="continuationSeparator" w:id="0">
    <w:p w14:paraId="28C921F9" w14:textId="77777777" w:rsidR="00D95969" w:rsidRDefault="00D95969" w:rsidP="00C67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5534B"/>
    <w:multiLevelType w:val="hybridMultilevel"/>
    <w:tmpl w:val="D638AB16"/>
    <w:lvl w:ilvl="0" w:tplc="F822B90C">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BA"/>
    <w:rsid w:val="00041DEE"/>
    <w:rsid w:val="00420AD8"/>
    <w:rsid w:val="00421259"/>
    <w:rsid w:val="00471369"/>
    <w:rsid w:val="00496D22"/>
    <w:rsid w:val="005C1C2F"/>
    <w:rsid w:val="005C4E9B"/>
    <w:rsid w:val="00632984"/>
    <w:rsid w:val="006462C7"/>
    <w:rsid w:val="00743D6B"/>
    <w:rsid w:val="0075332B"/>
    <w:rsid w:val="007A2F4C"/>
    <w:rsid w:val="007C35BA"/>
    <w:rsid w:val="008B29F5"/>
    <w:rsid w:val="008E1FC9"/>
    <w:rsid w:val="00B1298C"/>
    <w:rsid w:val="00B5200C"/>
    <w:rsid w:val="00C21708"/>
    <w:rsid w:val="00C33C2F"/>
    <w:rsid w:val="00C671B2"/>
    <w:rsid w:val="00CC3EB7"/>
    <w:rsid w:val="00CF40E9"/>
    <w:rsid w:val="00D6469D"/>
    <w:rsid w:val="00D74956"/>
    <w:rsid w:val="00D82F0C"/>
    <w:rsid w:val="00D95969"/>
    <w:rsid w:val="00E77637"/>
    <w:rsid w:val="00E866AA"/>
    <w:rsid w:val="00E967AE"/>
    <w:rsid w:val="00EC05AC"/>
    <w:rsid w:val="00F367F3"/>
    <w:rsid w:val="00FF54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5923"/>
  <w15:chartTrackingRefBased/>
  <w15:docId w15:val="{A2C119D3-1E96-4E92-9CAD-B25C32C5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iCs/>
        <w:color w:val="000000"/>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5BA"/>
    <w:rPr>
      <w:rFonts w:ascii="Calibri" w:eastAsia="Calibri" w:hAnsi="Calibri" w:cs="Calibri"/>
      <w:iCs w:val="0"/>
      <w:color w:val="auto"/>
      <w:kern w:val="0"/>
      <w:sz w:val="22"/>
      <w:szCs w:val="22"/>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C35BA"/>
    <w:pPr>
      <w:ind w:left="720"/>
      <w:contextualSpacing/>
    </w:pPr>
  </w:style>
  <w:style w:type="table" w:styleId="Reatabula">
    <w:name w:val="Table Grid"/>
    <w:basedOn w:val="Parastatabula"/>
    <w:uiPriority w:val="39"/>
    <w:rsid w:val="007C35BA"/>
    <w:pPr>
      <w:spacing w:after="0" w:line="240" w:lineRule="auto"/>
    </w:pPr>
    <w:rPr>
      <w:rFonts w:ascii="Calibri" w:eastAsia="Calibri" w:hAnsi="Calibri" w:cs="Calibri"/>
      <w:iCs w:val="0"/>
      <w:color w:val="auto"/>
      <w:kern w:val="0"/>
      <w:sz w:val="22"/>
      <w:szCs w:val="22"/>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5BA"/>
    <w:pPr>
      <w:autoSpaceDE w:val="0"/>
      <w:autoSpaceDN w:val="0"/>
      <w:adjustRightInd w:val="0"/>
      <w:spacing w:after="0" w:line="240" w:lineRule="auto"/>
    </w:pPr>
    <w:rPr>
      <w:rFonts w:ascii="Calibri" w:eastAsia="Calibri" w:hAnsi="Calibri" w:cs="Calibri"/>
      <w:iCs w:val="0"/>
      <w:kern w:val="0"/>
      <w:lang w:eastAsia="lv-LV"/>
      <w14:ligatures w14:val="none"/>
    </w:rPr>
  </w:style>
  <w:style w:type="paragraph" w:styleId="Galvene">
    <w:name w:val="header"/>
    <w:basedOn w:val="Parasts"/>
    <w:link w:val="GalveneRakstz"/>
    <w:uiPriority w:val="99"/>
    <w:unhideWhenUsed/>
    <w:rsid w:val="00C671B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671B2"/>
    <w:rPr>
      <w:rFonts w:ascii="Calibri" w:eastAsia="Calibri" w:hAnsi="Calibri" w:cs="Calibri"/>
      <w:iCs w:val="0"/>
      <w:color w:val="auto"/>
      <w:kern w:val="0"/>
      <w:sz w:val="22"/>
      <w:szCs w:val="22"/>
      <w:lang w:eastAsia="lv-LV"/>
      <w14:ligatures w14:val="none"/>
    </w:rPr>
  </w:style>
  <w:style w:type="paragraph" w:styleId="Kjene">
    <w:name w:val="footer"/>
    <w:basedOn w:val="Parasts"/>
    <w:link w:val="KjeneRakstz"/>
    <w:uiPriority w:val="99"/>
    <w:unhideWhenUsed/>
    <w:rsid w:val="00C671B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671B2"/>
    <w:rPr>
      <w:rFonts w:ascii="Calibri" w:eastAsia="Calibri" w:hAnsi="Calibri" w:cs="Calibri"/>
      <w:iCs w:val="0"/>
      <w:color w:val="auto"/>
      <w:kern w:val="0"/>
      <w:sz w:val="22"/>
      <w:szCs w:val="22"/>
      <w:lang w:eastAsia="lv-LV"/>
      <w14:ligatures w14:val="none"/>
    </w:rPr>
  </w:style>
  <w:style w:type="paragraph" w:customStyle="1" w:styleId="naisnod">
    <w:name w:val="naisnod"/>
    <w:basedOn w:val="Parasts"/>
    <w:rsid w:val="005C4E9B"/>
    <w:pPr>
      <w:spacing w:before="150" w:after="15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2341</Words>
  <Characters>1335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Rudens</dc:creator>
  <cp:keywords/>
  <dc:description/>
  <cp:lastModifiedBy>Santa Hermane</cp:lastModifiedBy>
  <cp:revision>21</cp:revision>
  <dcterms:created xsi:type="dcterms:W3CDTF">2024-05-22T07:39:00Z</dcterms:created>
  <dcterms:modified xsi:type="dcterms:W3CDTF">2024-06-20T07:36:00Z</dcterms:modified>
</cp:coreProperties>
</file>