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B1D7" w14:textId="21DD1E8C" w:rsidR="00F16376" w:rsidRPr="000920C8" w:rsidRDefault="00F16376" w:rsidP="00F16376">
      <w:pPr>
        <w:spacing w:after="0" w:line="240" w:lineRule="auto"/>
        <w:ind w:right="49"/>
        <w:jc w:val="right"/>
        <w:rPr>
          <w:rFonts w:ascii="Times New Roman" w:hAnsi="Times New Roman" w:cs="Times New Roman"/>
          <w:bCs/>
          <w:sz w:val="24"/>
          <w:szCs w:val="24"/>
        </w:rPr>
      </w:pPr>
      <w:r w:rsidRPr="000920C8">
        <w:rPr>
          <w:rFonts w:ascii="Times New Roman" w:hAnsi="Times New Roman" w:cs="Times New Roman"/>
          <w:bCs/>
          <w:sz w:val="24"/>
          <w:szCs w:val="24"/>
        </w:rPr>
        <w:t>Projekts</w:t>
      </w:r>
    </w:p>
    <w:p w14:paraId="3AE996F5" w14:textId="77777777" w:rsidR="00F16376" w:rsidRDefault="00F16376" w:rsidP="00F16376">
      <w:pPr>
        <w:spacing w:after="0" w:line="240" w:lineRule="auto"/>
        <w:ind w:right="49"/>
        <w:jc w:val="right"/>
        <w:rPr>
          <w:rFonts w:ascii="Times New Roman" w:hAnsi="Times New Roman" w:cs="Times New Roman"/>
          <w:b/>
          <w:bCs/>
          <w:sz w:val="24"/>
          <w:szCs w:val="24"/>
        </w:rPr>
      </w:pPr>
    </w:p>
    <w:p w14:paraId="7FCDB969" w14:textId="7EEFDB19"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B76186">
        <w:rPr>
          <w:rFonts w:ascii="Times New Roman" w:hAnsi="Times New Roman" w:cs="Times New Roman"/>
          <w:b/>
          <w:bCs/>
          <w:sz w:val="24"/>
          <w:szCs w:val="24"/>
        </w:rPr>
        <w:t xml:space="preserve"> </w:t>
      </w:r>
      <w:r>
        <w:rPr>
          <w:rFonts w:ascii="Times New Roman" w:hAnsi="Times New Roman" w:cs="Times New Roman"/>
          <w:b/>
          <w:bCs/>
          <w:sz w:val="24"/>
          <w:szCs w:val="24"/>
        </w:rPr>
        <w:t>/202</w:t>
      </w:r>
      <w:r w:rsidR="00B76186">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1F07CB" w:rsidRPr="00ED6909">
        <w:rPr>
          <w:rFonts w:ascii="Times New Roman" w:hAnsi="Times New Roman" w:cs="Times New Roman"/>
          <w:b/>
          <w:color w:val="000000"/>
          <w:sz w:val="24"/>
          <w:szCs w:val="24"/>
        </w:rPr>
        <w:t>Par pašvaldības atbalstu sporta organizācijām un individuālajiem sportistiem sporta veicināšanai Ogres novadā</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7E1830A4" w14:textId="767726EF" w:rsidR="00505470" w:rsidRPr="008B099E" w:rsidRDefault="001F07CB" w:rsidP="00505470">
            <w:pPr>
              <w:jc w:val="both"/>
              <w:rPr>
                <w:rFonts w:ascii="Times New Roman" w:eastAsia="Times New Roman" w:hAnsi="Times New Roman" w:cs="Times New Roman"/>
                <w:color w:val="000000" w:themeColor="text1"/>
                <w:sz w:val="24"/>
                <w:szCs w:val="24"/>
              </w:rPr>
            </w:pPr>
            <w:r w:rsidRPr="008B099E">
              <w:rPr>
                <w:rFonts w:ascii="Times New Roman" w:eastAsia="Times New Roman" w:hAnsi="Times New Roman" w:cs="Times New Roman"/>
                <w:color w:val="000000" w:themeColor="text1"/>
                <w:sz w:val="24"/>
                <w:szCs w:val="24"/>
              </w:rPr>
              <w:t xml:space="preserve">Šobrīd spēkā esošie </w:t>
            </w:r>
            <w:r w:rsidR="008B099E" w:rsidRPr="008B099E">
              <w:rPr>
                <w:rFonts w:ascii="Times New Roman" w:hAnsi="Times New Roman" w:cs="Times New Roman"/>
                <w:sz w:val="24"/>
                <w:szCs w:val="24"/>
              </w:rPr>
              <w:t>2022. gada 31. mart</w:t>
            </w:r>
            <w:r w:rsidR="008B099E" w:rsidRPr="008B099E">
              <w:rPr>
                <w:rFonts w:ascii="Times New Roman" w:hAnsi="Times New Roman" w:cs="Times New Roman"/>
                <w:sz w:val="24"/>
                <w:szCs w:val="24"/>
              </w:rPr>
              <w:t>a</w:t>
            </w:r>
            <w:r w:rsidR="008B099E" w:rsidRPr="008B099E">
              <w:rPr>
                <w:rFonts w:ascii="Times New Roman" w:hAnsi="Times New Roman" w:cs="Times New Roman"/>
                <w:sz w:val="24"/>
                <w:szCs w:val="24"/>
              </w:rPr>
              <w:t xml:space="preserve"> </w:t>
            </w:r>
            <w:r w:rsidR="008B099E" w:rsidRPr="008B099E">
              <w:rPr>
                <w:rFonts w:ascii="Times New Roman" w:hAnsi="Times New Roman" w:cs="Times New Roman"/>
                <w:sz w:val="24"/>
                <w:szCs w:val="24"/>
              </w:rPr>
              <w:t>s</w:t>
            </w:r>
            <w:r w:rsidR="008B099E" w:rsidRPr="008B099E">
              <w:rPr>
                <w:rFonts w:ascii="Times New Roman" w:hAnsi="Times New Roman" w:cs="Times New Roman"/>
                <w:sz w:val="24"/>
                <w:szCs w:val="24"/>
              </w:rPr>
              <w:t>aisto</w:t>
            </w:r>
            <w:r w:rsidR="008B099E" w:rsidRPr="008B099E">
              <w:rPr>
                <w:rFonts w:ascii="Times New Roman" w:hAnsi="Times New Roman" w:cs="Times New Roman"/>
                <w:sz w:val="24"/>
                <w:szCs w:val="24"/>
              </w:rPr>
              <w:t>šie</w:t>
            </w:r>
            <w:r w:rsidR="008B099E" w:rsidRPr="008B099E">
              <w:rPr>
                <w:rFonts w:ascii="Times New Roman" w:hAnsi="Times New Roman" w:cs="Times New Roman"/>
                <w:sz w:val="24"/>
                <w:szCs w:val="24"/>
              </w:rPr>
              <w:t xml:space="preserve"> noteikum</w:t>
            </w:r>
            <w:r w:rsidR="008B099E" w:rsidRPr="008B099E">
              <w:rPr>
                <w:rFonts w:ascii="Times New Roman" w:hAnsi="Times New Roman" w:cs="Times New Roman"/>
                <w:sz w:val="24"/>
                <w:szCs w:val="24"/>
              </w:rPr>
              <w:t>i</w:t>
            </w:r>
            <w:r w:rsidR="008B099E" w:rsidRPr="008B099E">
              <w:rPr>
                <w:rFonts w:ascii="Times New Roman" w:hAnsi="Times New Roman" w:cs="Times New Roman"/>
                <w:sz w:val="24"/>
                <w:szCs w:val="24"/>
              </w:rPr>
              <w:t xml:space="preserve"> Nr.</w:t>
            </w:r>
            <w:r w:rsidR="008B099E">
              <w:rPr>
                <w:rFonts w:ascii="Times New Roman" w:hAnsi="Times New Roman" w:cs="Times New Roman"/>
                <w:sz w:val="24"/>
                <w:szCs w:val="24"/>
              </w:rPr>
              <w:t> </w:t>
            </w:r>
            <w:r w:rsidR="008B099E" w:rsidRPr="008B099E">
              <w:rPr>
                <w:rFonts w:ascii="Times New Roman" w:hAnsi="Times New Roman" w:cs="Times New Roman"/>
                <w:sz w:val="24"/>
                <w:szCs w:val="24"/>
              </w:rPr>
              <w:t>13/2022 “Par pašvaldības atbalstu sporta organizācijām un individuālajiem sportistiem sporta veicināšanai Ogres novadā”</w:t>
            </w:r>
            <w:r w:rsidR="00505470" w:rsidRPr="008B099E">
              <w:rPr>
                <w:rFonts w:ascii="Times New Roman" w:eastAsia="Times New Roman" w:hAnsi="Times New Roman" w:cs="Times New Roman"/>
                <w:color w:val="000000" w:themeColor="text1"/>
                <w:sz w:val="24"/>
                <w:szCs w:val="24"/>
              </w:rPr>
              <w:t xml:space="preserve"> izdoti saskaņā ar likuma “Par pašvaldībām” 15. panta </w:t>
            </w:r>
            <w:r w:rsidRPr="008B099E">
              <w:rPr>
                <w:rFonts w:ascii="Times New Roman" w:eastAsia="Times New Roman" w:hAnsi="Times New Roman" w:cs="Times New Roman"/>
                <w:color w:val="000000" w:themeColor="text1"/>
                <w:sz w:val="24"/>
                <w:szCs w:val="24"/>
              </w:rPr>
              <w:t>3. punktu un 43.</w:t>
            </w:r>
            <w:r w:rsidR="008B099E">
              <w:rPr>
                <w:rFonts w:ascii="Times New Roman" w:eastAsia="Times New Roman" w:hAnsi="Times New Roman" w:cs="Times New Roman"/>
                <w:color w:val="000000" w:themeColor="text1"/>
                <w:sz w:val="24"/>
                <w:szCs w:val="24"/>
              </w:rPr>
              <w:t> </w:t>
            </w:r>
            <w:r w:rsidRPr="008B099E">
              <w:rPr>
                <w:rFonts w:ascii="Times New Roman" w:eastAsia="Times New Roman" w:hAnsi="Times New Roman" w:cs="Times New Roman"/>
                <w:color w:val="000000" w:themeColor="text1"/>
                <w:sz w:val="24"/>
                <w:szCs w:val="24"/>
              </w:rPr>
              <w:t>panta trešo daļu</w:t>
            </w:r>
            <w:r w:rsidR="00505470" w:rsidRPr="008B099E">
              <w:rPr>
                <w:rFonts w:ascii="Times New Roman" w:eastAsia="Times New Roman" w:hAnsi="Times New Roman" w:cs="Times New Roman"/>
                <w:color w:val="000000" w:themeColor="text1"/>
                <w:sz w:val="24"/>
                <w:szCs w:val="24"/>
              </w:rPr>
              <w:t>.</w:t>
            </w:r>
          </w:p>
          <w:p w14:paraId="010EF181" w14:textId="1064B61E" w:rsidR="00505470" w:rsidRPr="008B099E" w:rsidRDefault="00505470" w:rsidP="00505470">
            <w:pPr>
              <w:jc w:val="both"/>
              <w:rPr>
                <w:rFonts w:ascii="Times New Roman" w:eastAsia="Times New Roman" w:hAnsi="Times New Roman" w:cs="Times New Roman"/>
                <w:color w:val="000000" w:themeColor="text1"/>
                <w:sz w:val="24"/>
                <w:szCs w:val="24"/>
              </w:rPr>
            </w:pPr>
            <w:r w:rsidRPr="008B099E">
              <w:rPr>
                <w:rFonts w:ascii="Times New Roman" w:eastAsia="Times New Roman" w:hAnsi="Times New Roman" w:cs="Times New Roman"/>
                <w:color w:val="000000" w:themeColor="text1"/>
                <w:sz w:val="24"/>
                <w:szCs w:val="24"/>
              </w:rPr>
              <w:t>Saskaņā ar oficiālo publikāciju un tiesiskās informācijas likuma 9.</w:t>
            </w:r>
            <w:r w:rsidR="008B099E">
              <w:rPr>
                <w:rFonts w:ascii="Times New Roman" w:eastAsia="Times New Roman" w:hAnsi="Times New Roman" w:cs="Times New Roman"/>
                <w:color w:val="000000" w:themeColor="text1"/>
                <w:sz w:val="24"/>
                <w:szCs w:val="24"/>
              </w:rPr>
              <w:t> </w:t>
            </w:r>
            <w:r w:rsidRPr="008B099E">
              <w:rPr>
                <w:rFonts w:ascii="Times New Roman" w:eastAsia="Times New Roman" w:hAnsi="Times New Roman" w:cs="Times New Roman"/>
                <w:color w:val="000000" w:themeColor="text1"/>
                <w:sz w:val="24"/>
                <w:szCs w:val="24"/>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678F4CE9" w14:textId="36A15A45" w:rsidR="00B40A98" w:rsidRPr="008B099E" w:rsidRDefault="00505470" w:rsidP="00505470">
            <w:pPr>
              <w:jc w:val="both"/>
              <w:rPr>
                <w:rFonts w:ascii="Times New Roman" w:hAnsi="Times New Roman" w:cs="Times New Roman"/>
                <w:sz w:val="24"/>
                <w:szCs w:val="24"/>
              </w:rPr>
            </w:pPr>
            <w:r w:rsidRPr="008B099E">
              <w:rPr>
                <w:rFonts w:ascii="Times New Roman" w:eastAsia="Times New Roman" w:hAnsi="Times New Roman" w:cs="Times New Roman"/>
                <w:color w:val="000000" w:themeColor="text1"/>
                <w:sz w:val="24"/>
                <w:szCs w:val="24"/>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2499AED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9E60E6">
              <w:rPr>
                <w:rFonts w:ascii="Times New Roman" w:hAnsi="Times New Roman" w:cs="Times New Roman"/>
                <w:sz w:val="24"/>
                <w:szCs w:val="24"/>
              </w:rPr>
              <w:t>n</w:t>
            </w:r>
            <w:r w:rsidR="00B40A98">
              <w:rPr>
                <w:rFonts w:ascii="Times New Roman" w:hAnsi="Times New Roman" w:cs="Times New Roman"/>
                <w:sz w:val="24"/>
                <w:szCs w:val="24"/>
              </w:rPr>
              <w:t>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31A487E6"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w:t>
            </w:r>
            <w:r w:rsidR="00B722EA">
              <w:rPr>
                <w:rFonts w:ascii="Times New Roman" w:hAnsi="Times New Roman" w:cs="Times New Roman"/>
                <w:sz w:val="24"/>
                <w:szCs w:val="24"/>
              </w:rPr>
              <w:t xml:space="preserve"> un juridiskas personas</w:t>
            </w:r>
            <w:r>
              <w:rPr>
                <w:rFonts w:ascii="Times New Roman" w:hAnsi="Times New Roman" w:cs="Times New Roman"/>
                <w:sz w:val="24"/>
                <w:szCs w:val="24"/>
              </w:rPr>
              <w:t xml:space="preserve"> jautājumos par Saistošo noteikumu projekta piemērošanu var vērsties Ogres novada </w:t>
            </w:r>
            <w:r w:rsidR="001F07CB">
              <w:rPr>
                <w:rFonts w:ascii="Times New Roman" w:hAnsi="Times New Roman" w:cs="Times New Roman"/>
                <w:sz w:val="24"/>
                <w:szCs w:val="24"/>
              </w:rPr>
              <w:t>sporta centrā</w:t>
            </w:r>
            <w:r w:rsidR="00505470">
              <w:rPr>
                <w:rFonts w:ascii="Times New Roman" w:hAnsi="Times New Roman" w:cs="Times New Roman"/>
                <w:sz w:val="24"/>
                <w:szCs w:val="24"/>
              </w:rPr>
              <w:t>.</w:t>
            </w:r>
          </w:p>
          <w:p w14:paraId="22895EBD" w14:textId="48D336B2"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w:t>
            </w:r>
            <w:r w:rsidR="00E04B8B">
              <w:rPr>
                <w:rFonts w:ascii="Times New Roman" w:hAnsi="Times New Roman" w:cs="Times New Roman"/>
                <w:sz w:val="24"/>
                <w:szCs w:val="24"/>
              </w:rPr>
              <w:t xml:space="preserve"> un juridiskām personām</w:t>
            </w:r>
            <w:r w:rsidRPr="00AE2F38">
              <w:rPr>
                <w:rFonts w:ascii="Times New Roman" w:hAnsi="Times New Roman" w:cs="Times New Roman"/>
                <w:sz w:val="24"/>
                <w:szCs w:val="24"/>
              </w:rPr>
              <w:t xml:space="preserve"> veicamās darbības noteiktas Saistošo noteikum</w:t>
            </w:r>
            <w:r>
              <w:rPr>
                <w:rFonts w:ascii="Times New Roman" w:hAnsi="Times New Roman" w:cs="Times New Roman"/>
                <w:sz w:val="24"/>
                <w:szCs w:val="24"/>
              </w:rPr>
              <w:t>u projektā.</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24EA7B77"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w:t>
            </w:r>
            <w:r w:rsidR="00E04B8B">
              <w:rPr>
                <w:rFonts w:ascii="Times New Roman" w:hAnsi="Times New Roman" w:cs="Times New Roman"/>
                <w:sz w:val="24"/>
                <w:szCs w:val="24"/>
                <w:shd w:val="clear" w:color="auto" w:fill="FFFFFF"/>
              </w:rPr>
              <w:t xml:space="preserve"> 4</w:t>
            </w:r>
            <w:r>
              <w:rPr>
                <w:rFonts w:ascii="Times New Roman" w:hAnsi="Times New Roman" w:cs="Times New Roman"/>
                <w:sz w:val="24"/>
                <w:szCs w:val="24"/>
                <w:shd w:val="clear" w:color="auto" w:fill="FFFFFF"/>
              </w:rPr>
              <w:t>.</w:t>
            </w:r>
            <w:r w:rsidR="009E60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w:t>
            </w:r>
            <w:r w:rsidR="00E04B8B">
              <w:rPr>
                <w:rFonts w:ascii="Times New Roman" w:hAnsi="Times New Roman" w:cs="Times New Roman"/>
                <w:sz w:val="24"/>
                <w:szCs w:val="24"/>
                <w:shd w:val="clear" w:color="auto" w:fill="FFFFFF"/>
              </w:rPr>
              <w:t xml:space="preserve">ās daļas </w:t>
            </w:r>
            <w:r w:rsidR="001F07CB">
              <w:rPr>
                <w:rFonts w:ascii="Times New Roman" w:hAnsi="Times New Roman" w:cs="Times New Roman"/>
                <w:sz w:val="24"/>
                <w:szCs w:val="24"/>
                <w:shd w:val="clear" w:color="auto" w:fill="FFFFFF"/>
              </w:rPr>
              <w:t>7</w:t>
            </w:r>
            <w:r w:rsidR="00E04B8B">
              <w:rPr>
                <w:rFonts w:ascii="Times New Roman" w:hAnsi="Times New Roman" w:cs="Times New Roman"/>
                <w:sz w:val="24"/>
                <w:szCs w:val="24"/>
                <w:shd w:val="clear" w:color="auto" w:fill="FFFFFF"/>
              </w:rPr>
              <w:t>. punktā</w:t>
            </w:r>
            <w:r>
              <w:rPr>
                <w:rFonts w:ascii="Times New Roman" w:hAnsi="Times New Roman" w:cs="Times New Roman"/>
                <w:sz w:val="24"/>
                <w:szCs w:val="24"/>
                <w:shd w:val="clear" w:color="auto" w:fill="FFFFFF"/>
              </w:rPr>
              <w:t xml:space="preserve"> ir </w:t>
            </w:r>
            <w:r w:rsidR="00FB2E25">
              <w:rPr>
                <w:rFonts w:ascii="Times New Roman" w:hAnsi="Times New Roman" w:cs="Times New Roman"/>
                <w:sz w:val="24"/>
                <w:szCs w:val="24"/>
                <w:shd w:val="clear" w:color="auto" w:fill="FFFFFF"/>
              </w:rPr>
              <w:t xml:space="preserve">noteikts, ka viena no pašvaldības autonomajām funkcijām ir </w:t>
            </w:r>
            <w:r w:rsidR="001F07CB" w:rsidRPr="001F07CB">
              <w:rPr>
                <w:rFonts w:ascii="Times New Roman" w:hAnsi="Times New Roman" w:cs="Times New Roman"/>
                <w:sz w:val="24"/>
                <w:szCs w:val="24"/>
                <w:shd w:val="clear" w:color="auto" w:fill="FFFFFF"/>
              </w:rPr>
              <w:t xml:space="preserve">veicināt sporta attīstību, tostarp uzturēt un attīstīt pašvaldības sporta bāzes, atbalstīt </w:t>
            </w:r>
            <w:r w:rsidR="001F07CB" w:rsidRPr="001F07CB">
              <w:rPr>
                <w:rFonts w:ascii="Times New Roman" w:hAnsi="Times New Roman" w:cs="Times New Roman"/>
                <w:sz w:val="24"/>
                <w:szCs w:val="24"/>
                <w:shd w:val="clear" w:color="auto" w:fill="FFFFFF"/>
              </w:rPr>
              <w:lastRenderedPageBreak/>
              <w:t>sportistu un sporta klubu, arī profesionālo sporta klubu, darbību un sniegt atbalstu sporta pasākumu organizēšanai</w:t>
            </w:r>
            <w:r w:rsidR="00E04B8B">
              <w:rPr>
                <w:rFonts w:ascii="Times New Roman" w:hAnsi="Times New Roman" w:cs="Times New Roman"/>
                <w:sz w:val="24"/>
                <w:szCs w:val="24"/>
                <w:shd w:val="clear" w:color="auto" w:fill="FFFFFF"/>
              </w:rPr>
              <w:t>.</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Informācija par izpildes nodrošināšanu </w:t>
            </w:r>
          </w:p>
        </w:tc>
        <w:tc>
          <w:tcPr>
            <w:tcW w:w="6775" w:type="dxa"/>
          </w:tcPr>
          <w:p w14:paraId="52F2D967" w14:textId="538E129E"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w:t>
            </w:r>
            <w:r w:rsidR="00505470">
              <w:rPr>
                <w:rFonts w:ascii="Times New Roman" w:hAnsi="Times New Roman" w:cs="Times New Roman"/>
                <w:sz w:val="24"/>
                <w:szCs w:val="24"/>
              </w:rPr>
              <w:t xml:space="preserve">izpildi nodrošina Ogres novada </w:t>
            </w:r>
            <w:r w:rsidR="001F07CB">
              <w:rPr>
                <w:rFonts w:ascii="Times New Roman" w:hAnsi="Times New Roman" w:cs="Times New Roman"/>
                <w:sz w:val="24"/>
                <w:szCs w:val="24"/>
              </w:rPr>
              <w:t>sporta centrs</w:t>
            </w:r>
            <w:r w:rsidR="00505470">
              <w:rPr>
                <w:rFonts w:ascii="Times New Roman" w:hAnsi="Times New Roman" w:cs="Times New Roman"/>
                <w:sz w:val="24"/>
                <w:szCs w:val="24"/>
              </w:rPr>
              <w:t xml:space="preserve"> sadarbībā ar Finanšu nodaļu</w:t>
            </w:r>
            <w:r w:rsidR="001F07CB">
              <w:rPr>
                <w:rFonts w:ascii="Times New Roman" w:hAnsi="Times New Roman" w:cs="Times New Roman"/>
                <w:sz w:val="24"/>
                <w:szCs w:val="24"/>
              </w:rPr>
              <w:t>, Juridisko nodaļu</w:t>
            </w:r>
            <w:r w:rsidR="0092312D">
              <w:rPr>
                <w:rFonts w:ascii="Times New Roman" w:hAnsi="Times New Roman" w:cs="Times New Roman"/>
                <w:sz w:val="24"/>
                <w:szCs w:val="24"/>
              </w:rPr>
              <w:t xml:space="preserve"> un </w:t>
            </w:r>
            <w:r w:rsidR="001F07CB">
              <w:rPr>
                <w:rFonts w:ascii="Times New Roman" w:hAnsi="Times New Roman" w:cs="Times New Roman"/>
                <w:sz w:val="24"/>
                <w:szCs w:val="24"/>
              </w:rPr>
              <w:t>Ogres novada Sporta attīstības konsultatīvo komisiju</w:t>
            </w:r>
            <w:r w:rsidR="0092312D">
              <w:rPr>
                <w:rFonts w:ascii="Times New Roman" w:hAnsi="Times New Roman" w:cs="Times New Roman"/>
                <w:sz w:val="24"/>
                <w:szCs w:val="24"/>
              </w:rPr>
              <w:t>.</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56FD56A2" w14:textId="33424153" w:rsidR="00CA2CF0" w:rsidRPr="00DB1FE5" w:rsidRDefault="00FB2EF2" w:rsidP="00FB2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tc>
      </w:tr>
    </w:tbl>
    <w:p w14:paraId="46128AC5" w14:textId="77777777" w:rsidR="00D6379A" w:rsidRDefault="00D6379A" w:rsidP="00461EF5">
      <w:pPr>
        <w:jc w:val="both"/>
        <w:rPr>
          <w:rFonts w:ascii="Times New Roman" w:hAnsi="Times New Roman" w:cs="Times New Roman"/>
          <w:sz w:val="24"/>
          <w:szCs w:val="24"/>
        </w:rPr>
      </w:pPr>
    </w:p>
    <w:p w14:paraId="1E381AA2" w14:textId="77777777" w:rsidR="00D6379A" w:rsidRPr="00844D9B" w:rsidRDefault="00D6379A" w:rsidP="00461EF5">
      <w:pPr>
        <w:jc w:val="both"/>
        <w:rPr>
          <w:rFonts w:ascii="Times New Roman" w:hAnsi="Times New Roman" w:cs="Times New Roman"/>
          <w:sz w:val="24"/>
          <w:szCs w:val="24"/>
        </w:rPr>
      </w:pPr>
    </w:p>
    <w:p w14:paraId="3083D456" w14:textId="504CA7D9" w:rsidR="00461EF5" w:rsidRDefault="002C5EF8" w:rsidP="00461EF5">
      <w:pPr>
        <w:tabs>
          <w:tab w:val="right" w:pos="8931"/>
        </w:tabs>
        <w:jc w:val="both"/>
      </w:pPr>
      <w:r>
        <w:rPr>
          <w:rFonts w:ascii="Times New Roman" w:hAnsi="Times New Roman" w:cs="Times New Roman"/>
          <w:sz w:val="24"/>
          <w:szCs w:val="24"/>
        </w:rPr>
        <w:t>Domes priekšsēdētājs</w:t>
      </w:r>
      <w:r>
        <w:rPr>
          <w:rFonts w:ascii="Times New Roman" w:hAnsi="Times New Roman" w:cs="Times New Roman"/>
          <w:sz w:val="24"/>
          <w:szCs w:val="24"/>
        </w:rPr>
        <w:tab/>
        <w:t>E.</w:t>
      </w:r>
      <w:r w:rsidR="00461EF5" w:rsidRPr="00844D9B">
        <w:rPr>
          <w:rFonts w:ascii="Times New Roman" w:hAnsi="Times New Roman" w:cs="Times New Roman"/>
          <w:sz w:val="24"/>
          <w:szCs w:val="24"/>
        </w:rPr>
        <w:t xml:space="preserve"> Helmanis</w:t>
      </w:r>
    </w:p>
    <w:p w14:paraId="6754CCB8" w14:textId="77777777" w:rsidR="00ED7364" w:rsidRDefault="00ED7364"/>
    <w:sectPr w:rsidR="00ED7364" w:rsidSect="008C4F8D">
      <w:footerReference w:type="default" r:id="rId7"/>
      <w:pgSz w:w="12240" w:h="15840"/>
      <w:pgMar w:top="1135"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8192" w14:textId="77777777" w:rsidR="008C4F8D" w:rsidRDefault="008C4F8D">
      <w:pPr>
        <w:spacing w:after="0" w:line="240" w:lineRule="auto"/>
      </w:pPr>
      <w:r>
        <w:separator/>
      </w:r>
    </w:p>
  </w:endnote>
  <w:endnote w:type="continuationSeparator" w:id="0">
    <w:p w14:paraId="7BE84745" w14:textId="77777777" w:rsidR="008C4F8D" w:rsidRDefault="008C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1487D"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0920C8">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1487D" w:rsidRDefault="00D148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2E345" w14:textId="77777777" w:rsidR="008C4F8D" w:rsidRDefault="008C4F8D">
      <w:pPr>
        <w:spacing w:after="0" w:line="240" w:lineRule="auto"/>
      </w:pPr>
      <w:r>
        <w:separator/>
      </w:r>
    </w:p>
  </w:footnote>
  <w:footnote w:type="continuationSeparator" w:id="0">
    <w:p w14:paraId="7A40D511" w14:textId="77777777" w:rsidR="008C4F8D" w:rsidRDefault="008C4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2082016">
    <w:abstractNumId w:val="0"/>
  </w:num>
  <w:num w:numId="2" w16cid:durableId="23215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F5"/>
    <w:rsid w:val="00000214"/>
    <w:rsid w:val="000404BC"/>
    <w:rsid w:val="00057411"/>
    <w:rsid w:val="00057A17"/>
    <w:rsid w:val="000873DB"/>
    <w:rsid w:val="000920C8"/>
    <w:rsid w:val="000C59F9"/>
    <w:rsid w:val="000C6DE6"/>
    <w:rsid w:val="00146B6B"/>
    <w:rsid w:val="00153405"/>
    <w:rsid w:val="0018466F"/>
    <w:rsid w:val="001D59CD"/>
    <w:rsid w:val="001F07CB"/>
    <w:rsid w:val="00215C33"/>
    <w:rsid w:val="002369A7"/>
    <w:rsid w:val="00243F56"/>
    <w:rsid w:val="00246FD5"/>
    <w:rsid w:val="002509C3"/>
    <w:rsid w:val="002513C6"/>
    <w:rsid w:val="00255F30"/>
    <w:rsid w:val="002C5EF8"/>
    <w:rsid w:val="002E6C90"/>
    <w:rsid w:val="00302BE4"/>
    <w:rsid w:val="00323A91"/>
    <w:rsid w:val="00326FAD"/>
    <w:rsid w:val="00334004"/>
    <w:rsid w:val="00354049"/>
    <w:rsid w:val="004615E6"/>
    <w:rsid w:val="00461EF5"/>
    <w:rsid w:val="004715D8"/>
    <w:rsid w:val="00487A9E"/>
    <w:rsid w:val="004C63BD"/>
    <w:rsid w:val="00505470"/>
    <w:rsid w:val="005135B8"/>
    <w:rsid w:val="00606688"/>
    <w:rsid w:val="0061161C"/>
    <w:rsid w:val="00624D4A"/>
    <w:rsid w:val="00636664"/>
    <w:rsid w:val="00656A14"/>
    <w:rsid w:val="006A5E7A"/>
    <w:rsid w:val="006B5EEF"/>
    <w:rsid w:val="006D37A5"/>
    <w:rsid w:val="0070735F"/>
    <w:rsid w:val="00743B45"/>
    <w:rsid w:val="00782843"/>
    <w:rsid w:val="00782B82"/>
    <w:rsid w:val="007B52C6"/>
    <w:rsid w:val="008032BB"/>
    <w:rsid w:val="00873075"/>
    <w:rsid w:val="008779DC"/>
    <w:rsid w:val="008A3F5A"/>
    <w:rsid w:val="008B099E"/>
    <w:rsid w:val="008C052F"/>
    <w:rsid w:val="008C4F8D"/>
    <w:rsid w:val="009059E5"/>
    <w:rsid w:val="00907FB9"/>
    <w:rsid w:val="00911C45"/>
    <w:rsid w:val="0092312D"/>
    <w:rsid w:val="00974CEB"/>
    <w:rsid w:val="00993E44"/>
    <w:rsid w:val="00993FA9"/>
    <w:rsid w:val="00993FF8"/>
    <w:rsid w:val="009E5BBF"/>
    <w:rsid w:val="009E60E6"/>
    <w:rsid w:val="00A70F8D"/>
    <w:rsid w:val="00A74D62"/>
    <w:rsid w:val="00A854CE"/>
    <w:rsid w:val="00AA35A4"/>
    <w:rsid w:val="00AB3001"/>
    <w:rsid w:val="00AE2F38"/>
    <w:rsid w:val="00AF5277"/>
    <w:rsid w:val="00B0380C"/>
    <w:rsid w:val="00B40A98"/>
    <w:rsid w:val="00B433F4"/>
    <w:rsid w:val="00B54B6F"/>
    <w:rsid w:val="00B60CC1"/>
    <w:rsid w:val="00B722EA"/>
    <w:rsid w:val="00B76186"/>
    <w:rsid w:val="00B8174B"/>
    <w:rsid w:val="00BA75C7"/>
    <w:rsid w:val="00BC5A12"/>
    <w:rsid w:val="00BD2E2D"/>
    <w:rsid w:val="00BD5800"/>
    <w:rsid w:val="00CA2CF0"/>
    <w:rsid w:val="00CB5A53"/>
    <w:rsid w:val="00CD3372"/>
    <w:rsid w:val="00D1487D"/>
    <w:rsid w:val="00D1514D"/>
    <w:rsid w:val="00D6273E"/>
    <w:rsid w:val="00D6379A"/>
    <w:rsid w:val="00DB1FE5"/>
    <w:rsid w:val="00E04B8B"/>
    <w:rsid w:val="00E06683"/>
    <w:rsid w:val="00E432FC"/>
    <w:rsid w:val="00E465D4"/>
    <w:rsid w:val="00E577E5"/>
    <w:rsid w:val="00E75BE9"/>
    <w:rsid w:val="00EC3630"/>
    <w:rsid w:val="00ED6641"/>
    <w:rsid w:val="00ED7364"/>
    <w:rsid w:val="00F16376"/>
    <w:rsid w:val="00F351CB"/>
    <w:rsid w:val="00F535CA"/>
    <w:rsid w:val="00F92DA4"/>
    <w:rsid w:val="00FB2E25"/>
    <w:rsid w:val="00FB2EF2"/>
    <w:rsid w:val="00FC4F2C"/>
    <w:rsid w:val="00FC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2094</Words>
  <Characters>1195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Andris Pūga</cp:lastModifiedBy>
  <cp:revision>4</cp:revision>
  <cp:lastPrinted>2024-01-25T11:20:00Z</cp:lastPrinted>
  <dcterms:created xsi:type="dcterms:W3CDTF">2024-05-08T12:32:00Z</dcterms:created>
  <dcterms:modified xsi:type="dcterms:W3CDTF">2024-05-15T06:08:00Z</dcterms:modified>
</cp:coreProperties>
</file>